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A1365D" w:rsidRDefault="00D94C73" w:rsidP="00324A49">
      <w:pPr>
        <w:jc w:val="center"/>
        <w:rPr>
          <w:rFonts w:ascii="Arial" w:hAnsi="Arial" w:cs="Arial"/>
          <w:b/>
          <w:color w:val="FF0000"/>
          <w:spacing w:val="20"/>
          <w:sz w:val="32"/>
          <w:szCs w:val="32"/>
        </w:rPr>
      </w:pPr>
      <w:r w:rsidRPr="00A1365D">
        <w:rPr>
          <w:rFonts w:ascii="Arial" w:hAnsi="Arial" w:cs="Arial"/>
          <w:b/>
          <w:color w:val="FF0000"/>
          <w:spacing w:val="20"/>
          <w:sz w:val="32"/>
          <w:szCs w:val="32"/>
        </w:rPr>
        <w:t>NÁVRH</w:t>
      </w:r>
    </w:p>
    <w:p w14:paraId="4C9E7ECE" w14:textId="127F9062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  <w:r w:rsidR="0043606F">
        <w:rPr>
          <w:rFonts w:ascii="Arial" w:hAnsi="Arial" w:cs="Arial"/>
          <w:b/>
          <w:spacing w:val="20"/>
          <w:sz w:val="32"/>
          <w:szCs w:val="32"/>
        </w:rPr>
        <w:t xml:space="preserve"> </w:t>
      </w:r>
      <w:r w:rsidR="00167287" w:rsidRPr="00281D26">
        <w:rPr>
          <w:rFonts w:ascii="Arial" w:hAnsi="Arial" w:cs="Arial"/>
          <w:b/>
          <w:spacing w:val="20"/>
          <w:sz w:val="32"/>
          <w:szCs w:val="32"/>
          <w:highlight w:val="green"/>
        </w:rPr>
        <w:t>č</w:t>
      </w:r>
      <w:r w:rsidR="00167287" w:rsidRPr="00B1692D">
        <w:rPr>
          <w:rFonts w:ascii="Arial" w:hAnsi="Arial" w:cs="Arial"/>
          <w:b/>
          <w:spacing w:val="20"/>
          <w:sz w:val="32"/>
          <w:szCs w:val="32"/>
          <w:highlight w:val="green"/>
        </w:rPr>
        <w:t xml:space="preserve">. </w:t>
      </w:r>
      <w:r w:rsidR="00167287" w:rsidRPr="00B1692D">
        <w:rPr>
          <w:rFonts w:ascii="Arial" w:hAnsi="Arial" w:cs="Arial"/>
          <w:bCs/>
          <w:i/>
          <w:iCs/>
          <w:spacing w:val="20"/>
          <w:sz w:val="32"/>
          <w:szCs w:val="32"/>
          <w:highlight w:val="green"/>
        </w:rPr>
        <w:t>(bude doplněno)</w:t>
      </w:r>
    </w:p>
    <w:p w14:paraId="1694279E" w14:textId="42AF23AB" w:rsidR="00E220F4" w:rsidRPr="00936B10" w:rsidRDefault="00E220F4" w:rsidP="005D3EE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50123C2F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</w:t>
      </w:r>
      <w:r w:rsidR="00FC13AB">
        <w:rPr>
          <w:rFonts w:ascii="Arial" w:hAnsi="Arial" w:cs="Arial"/>
          <w:snapToGrid w:val="0"/>
          <w:sz w:val="22"/>
          <w:szCs w:val="22"/>
        </w:rPr>
        <w:t>–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r w:rsidR="00FC13AB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B64607">
        <w:rPr>
          <w:rFonts w:ascii="Arial" w:hAnsi="Arial" w:cs="Arial"/>
          <w:snapToGrid w:val="0"/>
          <w:sz w:val="22"/>
          <w:szCs w:val="22"/>
        </w:rPr>
        <w:t xml:space="preserve">Královéhradecký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</w:p>
    <w:p w14:paraId="5413A74C" w14:textId="2C552029" w:rsidR="00D94C73" w:rsidRPr="00936B10" w:rsidRDefault="00D94C73" w:rsidP="006C6740">
      <w:pPr>
        <w:pStyle w:val="Bezmezer"/>
        <w:tabs>
          <w:tab w:val="left" w:pos="4536"/>
        </w:tabs>
        <w:spacing w:before="6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082CCF">
        <w:rPr>
          <w:rFonts w:ascii="Arial" w:hAnsi="Arial" w:cs="Arial"/>
          <w:sz w:val="22"/>
          <w:szCs w:val="22"/>
        </w:rPr>
        <w:t xml:space="preserve">Ing. Petrem Lázňovským, </w:t>
      </w:r>
      <w:r w:rsidRPr="00936B10">
        <w:rPr>
          <w:rFonts w:ascii="Arial" w:hAnsi="Arial" w:cs="Arial"/>
          <w:sz w:val="22"/>
          <w:szCs w:val="22"/>
        </w:rPr>
        <w:t xml:space="preserve">ředitelem Krajského pozemkového úřadu pro </w:t>
      </w:r>
      <w:r w:rsidR="00082CCF">
        <w:rPr>
          <w:rFonts w:ascii="Arial" w:hAnsi="Arial" w:cs="Arial"/>
          <w:sz w:val="22"/>
          <w:szCs w:val="22"/>
        </w:rPr>
        <w:t>Královéhradecký kraj</w:t>
      </w:r>
    </w:p>
    <w:p w14:paraId="1105F44A" w14:textId="5611236B" w:rsidR="00D94C73" w:rsidRPr="00936B10" w:rsidRDefault="00D94C73" w:rsidP="00082CCF">
      <w:pPr>
        <w:pStyle w:val="Bezmezer"/>
        <w:tabs>
          <w:tab w:val="left" w:pos="4536"/>
        </w:tabs>
        <w:spacing w:before="60"/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082CCF">
        <w:rPr>
          <w:rFonts w:ascii="Arial" w:hAnsi="Arial" w:cs="Arial"/>
          <w:sz w:val="22"/>
          <w:szCs w:val="22"/>
        </w:rPr>
        <w:t>Ing. Petr Lázňovský</w:t>
      </w:r>
    </w:p>
    <w:p w14:paraId="2C798104" w14:textId="5DA7B354" w:rsidR="00D94C73" w:rsidRPr="00936B10" w:rsidRDefault="00D94C73" w:rsidP="005E1751">
      <w:pPr>
        <w:pStyle w:val="Bezmezer"/>
        <w:tabs>
          <w:tab w:val="left" w:pos="4536"/>
        </w:tabs>
        <w:spacing w:before="8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082CCF">
        <w:rPr>
          <w:rFonts w:ascii="Arial" w:hAnsi="Arial" w:cs="Arial"/>
          <w:sz w:val="22"/>
          <w:szCs w:val="22"/>
        </w:rPr>
        <w:t>Kydlinovská 245, 503 01 Hradec Králové</w:t>
      </w:r>
    </w:p>
    <w:p w14:paraId="4C5750E4" w14:textId="2E1E79C3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082CCF">
        <w:rPr>
          <w:rFonts w:ascii="Arial" w:hAnsi="Arial" w:cs="Arial"/>
          <w:sz w:val="22"/>
          <w:szCs w:val="22"/>
        </w:rPr>
        <w:t>+420 602 448 126; +420 727 937 172</w:t>
      </w:r>
    </w:p>
    <w:p w14:paraId="4CC71DE2" w14:textId="34B5A501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3" w:history="1">
        <w:r w:rsidR="00A94C67" w:rsidRPr="00BC336F">
          <w:rPr>
            <w:rStyle w:val="Hypertextovodkaz"/>
            <w:rFonts w:ascii="Arial" w:hAnsi="Arial" w:cs="Arial"/>
            <w:sz w:val="22"/>
            <w:szCs w:val="22"/>
          </w:rPr>
          <w:t>kralovehradecky.kraj@spucr.cz</w:t>
        </w:r>
      </w:hyperlink>
      <w:r w:rsidR="00A94C67">
        <w:rPr>
          <w:rFonts w:ascii="Arial" w:hAnsi="Arial" w:cs="Arial"/>
          <w:sz w:val="22"/>
          <w:szCs w:val="22"/>
        </w:rPr>
        <w:t xml:space="preserve"> </w:t>
      </w:r>
    </w:p>
    <w:p w14:paraId="0DD245E4" w14:textId="3644209F" w:rsidR="00D94C73" w:rsidRDefault="00D94C73" w:rsidP="005E1751">
      <w:pPr>
        <w:pStyle w:val="Bezmezer"/>
        <w:tabs>
          <w:tab w:val="left" w:pos="4536"/>
        </w:tabs>
        <w:spacing w:before="80"/>
        <w:ind w:left="4536" w:hanging="4536"/>
        <w:rPr>
          <w:rFonts w:ascii="Arial" w:hAnsi="Arial" w:cs="Arial"/>
          <w:sz w:val="22"/>
          <w:szCs w:val="22"/>
        </w:rPr>
      </w:pPr>
      <w:r w:rsidRPr="005E1751">
        <w:rPr>
          <w:rFonts w:ascii="Arial" w:hAnsi="Arial" w:cs="Arial"/>
          <w:sz w:val="22"/>
          <w:szCs w:val="22"/>
        </w:rPr>
        <w:t>Zástupce ve věcech technických:</w:t>
      </w:r>
      <w:r w:rsidR="005E1751" w:rsidRPr="005E1751">
        <w:rPr>
          <w:rFonts w:ascii="Arial" w:hAnsi="Arial" w:cs="Arial"/>
          <w:sz w:val="22"/>
          <w:szCs w:val="22"/>
        </w:rPr>
        <w:tab/>
        <w:t>Ing. Jolana Miškářová, vedoucí oddělení</w:t>
      </w:r>
      <w:r w:rsidR="00880FC9">
        <w:rPr>
          <w:rFonts w:ascii="Arial" w:hAnsi="Arial" w:cs="Arial"/>
          <w:sz w:val="22"/>
          <w:szCs w:val="22"/>
        </w:rPr>
        <w:t xml:space="preserve"> převodu majetku státu, KPÚ pro KH kraj</w:t>
      </w:r>
    </w:p>
    <w:p w14:paraId="6EA4353F" w14:textId="5C2C4999" w:rsidR="00880FC9" w:rsidRPr="005E1751" w:rsidRDefault="00880FC9" w:rsidP="00880FC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Tel.: +420 725 420 036</w:t>
      </w:r>
    </w:p>
    <w:p w14:paraId="00D1C3E2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CA5D4BF" w14:textId="7358A0D9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880FC9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1B648B98" w:rsidR="00324A49" w:rsidRDefault="00702E47" w:rsidP="00702E4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68538E8C" w:rsidR="00324A49" w:rsidRDefault="00702E47" w:rsidP="00702E4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 w:rsidR="00324A49"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10E48690" w:rsidR="00D94C73" w:rsidRPr="00936B10" w:rsidRDefault="00702E47" w:rsidP="00702E4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1E137034" w:rsidR="00D94C73" w:rsidRPr="00936B10" w:rsidRDefault="00D94C73" w:rsidP="00B62041">
      <w:pPr>
        <w:pStyle w:val="Bezmezer"/>
        <w:tabs>
          <w:tab w:val="left" w:pos="4536"/>
        </w:tabs>
        <w:spacing w:before="8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8025C0">
        <w:rPr>
          <w:rFonts w:ascii="Arial" w:hAnsi="Arial" w:cs="Arial"/>
          <w:sz w:val="22"/>
          <w:szCs w:val="22"/>
        </w:rPr>
        <w:t>z49per3</w:t>
      </w:r>
    </w:p>
    <w:p w14:paraId="6066F629" w14:textId="030EEE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8025C0">
        <w:rPr>
          <w:rFonts w:ascii="Arial" w:hAnsi="Arial" w:cs="Arial"/>
          <w:sz w:val="22"/>
          <w:szCs w:val="22"/>
        </w:rPr>
        <w:t>ČNB</w:t>
      </w:r>
    </w:p>
    <w:p w14:paraId="68FE6340" w14:textId="1B1E19B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8025C0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690A60E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2635AA">
        <w:rPr>
          <w:rFonts w:ascii="Arial" w:hAnsi="Arial" w:cs="Arial"/>
          <w:bCs/>
          <w:sz w:val="22"/>
          <w:szCs w:val="22"/>
        </w:rPr>
        <w:t>01312774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1A4989D8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9F6CFB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9F6CFB"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1C90560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="0004136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4136C" w:rsidRPr="00324A49">
        <w:rPr>
          <w:rFonts w:ascii="Arial" w:hAnsi="Arial" w:cs="Arial"/>
          <w:b/>
          <w:sz w:val="22"/>
          <w:szCs w:val="22"/>
        </w:rPr>
        <w:tab/>
      </w:r>
    </w:p>
    <w:p w14:paraId="676ACD7A" w14:textId="2544AE7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04136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4136C" w:rsidRPr="00324A49">
        <w:rPr>
          <w:rFonts w:ascii="Arial" w:hAnsi="Arial" w:cs="Arial"/>
          <w:b/>
          <w:sz w:val="22"/>
          <w:szCs w:val="22"/>
        </w:rPr>
        <w:tab/>
      </w:r>
      <w:r w:rsidR="0004136C">
        <w:rPr>
          <w:rFonts w:ascii="Arial" w:hAnsi="Arial" w:cs="Arial"/>
          <w:b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0759B9CF" w14:textId="56E6F41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04136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4136C" w:rsidRPr="00324A49">
        <w:rPr>
          <w:rFonts w:ascii="Arial" w:hAnsi="Arial" w:cs="Arial"/>
          <w:b/>
          <w:sz w:val="22"/>
          <w:szCs w:val="22"/>
        </w:rPr>
        <w:tab/>
      </w:r>
    </w:p>
    <w:p w14:paraId="1839F0AD" w14:textId="62AFF28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04136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4136C" w:rsidRPr="00324A49">
        <w:rPr>
          <w:rFonts w:ascii="Arial" w:hAnsi="Arial" w:cs="Arial"/>
          <w:b/>
          <w:sz w:val="22"/>
          <w:szCs w:val="22"/>
        </w:rPr>
        <w:tab/>
      </w:r>
    </w:p>
    <w:p w14:paraId="01D2D25A" w14:textId="0E38FDB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04136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4136C" w:rsidRPr="00324A49">
        <w:rPr>
          <w:rFonts w:ascii="Arial" w:hAnsi="Arial" w:cs="Arial"/>
          <w:b/>
          <w:sz w:val="22"/>
          <w:szCs w:val="22"/>
        </w:rPr>
        <w:tab/>
      </w:r>
    </w:p>
    <w:p w14:paraId="0FDC6E56" w14:textId="2CDBA2B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="0004136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4136C" w:rsidRPr="00324A49">
        <w:rPr>
          <w:rFonts w:ascii="Arial" w:hAnsi="Arial" w:cs="Arial"/>
          <w:b/>
          <w:sz w:val="22"/>
          <w:szCs w:val="22"/>
        </w:rPr>
        <w:tab/>
      </w:r>
    </w:p>
    <w:p w14:paraId="16819018" w14:textId="1F74958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04136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4136C" w:rsidRPr="00324A49">
        <w:rPr>
          <w:rFonts w:ascii="Arial" w:hAnsi="Arial" w:cs="Arial"/>
          <w:b/>
          <w:sz w:val="22"/>
          <w:szCs w:val="22"/>
        </w:rPr>
        <w:tab/>
      </w:r>
    </w:p>
    <w:p w14:paraId="0381B1B4" w14:textId="24C4F95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04136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4136C" w:rsidRPr="00324A49">
        <w:rPr>
          <w:rFonts w:ascii="Arial" w:hAnsi="Arial" w:cs="Arial"/>
          <w:b/>
          <w:sz w:val="22"/>
          <w:szCs w:val="22"/>
        </w:rPr>
        <w:tab/>
      </w:r>
    </w:p>
    <w:p w14:paraId="218AF6B9" w14:textId="293149C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="0004136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4136C" w:rsidRPr="00324A49">
        <w:rPr>
          <w:rFonts w:ascii="Arial" w:hAnsi="Arial" w:cs="Arial"/>
          <w:b/>
          <w:sz w:val="22"/>
          <w:szCs w:val="22"/>
        </w:rPr>
        <w:tab/>
      </w:r>
    </w:p>
    <w:p w14:paraId="6B27D0C0" w14:textId="0D35503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04136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4136C" w:rsidRPr="00324A49">
        <w:rPr>
          <w:rFonts w:ascii="Arial" w:hAnsi="Arial" w:cs="Arial"/>
          <w:b/>
          <w:sz w:val="22"/>
          <w:szCs w:val="22"/>
        </w:rPr>
        <w:tab/>
      </w:r>
    </w:p>
    <w:p w14:paraId="718042C5" w14:textId="6030A8C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="0004136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4136C" w:rsidRPr="00324A49">
        <w:rPr>
          <w:rFonts w:ascii="Arial" w:hAnsi="Arial" w:cs="Arial"/>
          <w:b/>
          <w:sz w:val="22"/>
          <w:szCs w:val="22"/>
        </w:rPr>
        <w:tab/>
      </w:r>
    </w:p>
    <w:p w14:paraId="608E647E" w14:textId="645BC475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 w:rsidR="0004136C">
        <w:rPr>
          <w:rFonts w:ascii="Arial" w:hAnsi="Arial" w:cs="Arial"/>
          <w:sz w:val="22"/>
          <w:szCs w:val="22"/>
        </w:rPr>
        <w:t xml:space="preserve"> u </w:t>
      </w:r>
      <w:r w:rsidR="0004136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5145C"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="0005145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5145C">
        <w:rPr>
          <w:rFonts w:ascii="Arial" w:hAnsi="Arial" w:cs="Arial"/>
          <w:b/>
          <w:sz w:val="22"/>
          <w:szCs w:val="22"/>
        </w:rPr>
        <w:t xml:space="preserve">, vložka </w:t>
      </w:r>
      <w:r w:rsidR="0005145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5145C">
        <w:rPr>
          <w:rFonts w:ascii="Arial" w:hAnsi="Arial" w:cs="Arial"/>
          <w:b/>
          <w:sz w:val="22"/>
          <w:szCs w:val="22"/>
        </w:rPr>
        <w:t>.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6777032" w14:textId="77777777" w:rsidR="0005145C" w:rsidRPr="00324A49" w:rsidRDefault="002826A5" w:rsidP="0005145C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  <w:r w:rsidR="0005145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5145C" w:rsidRPr="00324A49">
        <w:rPr>
          <w:rFonts w:ascii="Arial" w:hAnsi="Arial" w:cs="Arial"/>
          <w:b/>
          <w:sz w:val="22"/>
          <w:szCs w:val="22"/>
        </w:rPr>
        <w:tab/>
      </w:r>
    </w:p>
    <w:p w14:paraId="3F181E1B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1B47D9E3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2E7E9868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49A9976F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0A236C5F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0C013355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251B0DE9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19F168CE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D4E7369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25AE7569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0DB170F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60107316" w14:textId="77777777" w:rsidR="0005145C" w:rsidRPr="00936B10" w:rsidRDefault="0005145C" w:rsidP="0005145C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>
        <w:rPr>
          <w:rFonts w:ascii="Arial" w:hAnsi="Arial" w:cs="Arial"/>
          <w:sz w:val="22"/>
          <w:szCs w:val="22"/>
        </w:rPr>
        <w:t xml:space="preserve"> u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sz w:val="22"/>
          <w:szCs w:val="22"/>
        </w:rPr>
        <w:t xml:space="preserve">, vložka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sz w:val="22"/>
          <w:szCs w:val="22"/>
        </w:rPr>
        <w:t>.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B39DF3" w14:textId="77777777" w:rsidR="0005145C" w:rsidRPr="00324A49" w:rsidRDefault="00D94C73" w:rsidP="0005145C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05145C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5145C" w:rsidRPr="00324A49">
        <w:rPr>
          <w:rFonts w:ascii="Arial" w:hAnsi="Arial" w:cs="Arial"/>
          <w:b/>
          <w:sz w:val="22"/>
          <w:szCs w:val="22"/>
        </w:rPr>
        <w:tab/>
      </w:r>
    </w:p>
    <w:p w14:paraId="0DBF390A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7BFBEC3A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0AA264BC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12FF36EC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63EABF2B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FB4C0BE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145316FD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2A592D8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FF4561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40157D12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136BE56C" w14:textId="77777777" w:rsidR="0005145C" w:rsidRPr="00936B10" w:rsidRDefault="0005145C" w:rsidP="0005145C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2D4D1775" w14:textId="77777777" w:rsidR="0005145C" w:rsidRPr="00936B10" w:rsidRDefault="0005145C" w:rsidP="0005145C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>
        <w:rPr>
          <w:rFonts w:ascii="Arial" w:hAnsi="Arial" w:cs="Arial"/>
          <w:sz w:val="22"/>
          <w:szCs w:val="22"/>
        </w:rPr>
        <w:t xml:space="preserve"> u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sz w:val="22"/>
          <w:szCs w:val="22"/>
        </w:rPr>
        <w:t xml:space="preserve">, vložka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sz w:val="22"/>
          <w:szCs w:val="22"/>
        </w:rPr>
        <w:t>.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49B552DE" w14:textId="19BA875E" w:rsidR="00626C73" w:rsidRPr="00B608E1" w:rsidRDefault="00626C73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Pořadí zhotovitelů odpovídá výsledkům </w:t>
      </w:r>
      <w:r w:rsidR="000079DA">
        <w:rPr>
          <w:rFonts w:ascii="Arial" w:hAnsi="Arial" w:cs="Arial"/>
          <w:sz w:val="22"/>
          <w:szCs w:val="22"/>
          <w:highlight w:val="lightGray"/>
        </w:rPr>
        <w:t xml:space="preserve">hodnocení nabídek v rámci </w:t>
      </w:r>
      <w:r>
        <w:rPr>
          <w:rFonts w:ascii="Arial" w:hAnsi="Arial" w:cs="Arial"/>
          <w:sz w:val="22"/>
          <w:szCs w:val="22"/>
          <w:highlight w:val="lightGray"/>
        </w:rPr>
        <w:t>výběrového řízení.</w:t>
      </w:r>
    </w:p>
    <w:p w14:paraId="358D2641" w14:textId="77777777" w:rsidR="00E220F4" w:rsidRPr="00B608E1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76A492EE" w14:textId="56FC064E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8AC97C" w14:textId="77777777" w:rsidR="00FB7EFC" w:rsidRPr="00936B10" w:rsidRDefault="00FB7EF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746165AE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FB7EFC">
        <w:rPr>
          <w:rFonts w:ascii="Arial" w:hAnsi="Arial" w:cs="Arial"/>
          <w:snapToGrid w:val="0"/>
          <w:sz w:val="22"/>
          <w:szCs w:val="22"/>
          <w:highlight w:val="green"/>
        </w:rPr>
        <w:t xml:space="preserve">se </w:t>
      </w:r>
      <w:r w:rsidR="00FB7EFC" w:rsidRPr="00FB7EFC">
        <w:rPr>
          <w:rFonts w:ascii="Arial" w:hAnsi="Arial" w:cs="Arial"/>
          <w:snapToGrid w:val="0"/>
          <w:sz w:val="22"/>
          <w:szCs w:val="22"/>
          <w:highlight w:val="green"/>
        </w:rPr>
        <w:t>třemi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0606A25" w:rsidR="000174FB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DD4EDF3" w14:textId="77777777" w:rsidR="00FB7EFC" w:rsidRPr="00936B10" w:rsidRDefault="00FB7EF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lastRenderedPageBreak/>
        <w:t>Čl. I.</w:t>
      </w:r>
    </w:p>
    <w:p w14:paraId="0862B734" w14:textId="31A2DA6A" w:rsidR="00D94C73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caps w:val="0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4FA1E368" w14:textId="77777777" w:rsidR="00813130" w:rsidRPr="00813130" w:rsidRDefault="00813130" w:rsidP="00813130">
      <w:pPr>
        <w:rPr>
          <w:rFonts w:ascii="Arial" w:hAnsi="Arial" w:cs="Arial"/>
          <w:sz w:val="22"/>
          <w:szCs w:val="22"/>
        </w:rPr>
      </w:pPr>
    </w:p>
    <w:p w14:paraId="0ABB3A66" w14:textId="0DD3FDC6" w:rsidR="00E220F4" w:rsidRPr="00813130" w:rsidRDefault="00D94C73" w:rsidP="00876466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81313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813130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81313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813130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813130">
        <w:rPr>
          <w:rFonts w:ascii="Arial" w:hAnsi="Arial" w:cs="Arial"/>
          <w:snapToGrid w:val="0"/>
          <w:sz w:val="22"/>
          <w:szCs w:val="22"/>
        </w:rPr>
        <w:t>e</w:t>
      </w:r>
      <w:r w:rsidR="00324A49" w:rsidRPr="00813130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813130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813130">
        <w:rPr>
          <w:rFonts w:ascii="Arial" w:hAnsi="Arial" w:cs="Arial"/>
          <w:b/>
          <w:sz w:val="22"/>
          <w:szCs w:val="22"/>
        </w:rPr>
        <w:t xml:space="preserve">Zpracování </w:t>
      </w:r>
      <w:r w:rsidRPr="00813130">
        <w:rPr>
          <w:rFonts w:ascii="Arial" w:hAnsi="Arial" w:cs="Arial"/>
          <w:b/>
          <w:sz w:val="22"/>
          <w:szCs w:val="22"/>
        </w:rPr>
        <w:t>znaleckých posudk</w:t>
      </w:r>
      <w:r w:rsidRPr="00EA6251">
        <w:rPr>
          <w:rFonts w:ascii="Arial" w:hAnsi="Arial" w:cs="Arial"/>
          <w:b/>
          <w:sz w:val="22"/>
          <w:szCs w:val="22"/>
        </w:rPr>
        <w:t>ů</w:t>
      </w:r>
      <w:r w:rsidR="00D13C37" w:rsidRPr="00EA6251">
        <w:rPr>
          <w:rFonts w:ascii="Arial" w:hAnsi="Arial" w:cs="Arial"/>
          <w:b/>
          <w:sz w:val="22"/>
          <w:szCs w:val="22"/>
        </w:rPr>
        <w:t>“</w:t>
      </w:r>
      <w:r w:rsidRPr="00EA6251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EA6251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EA6251">
        <w:rPr>
          <w:rFonts w:ascii="Arial" w:hAnsi="Arial" w:cs="Arial"/>
          <w:b/>
          <w:sz w:val="22"/>
          <w:szCs w:val="22"/>
        </w:rPr>
        <w:t xml:space="preserve"> KPÚ pro</w:t>
      </w:r>
      <w:r w:rsidR="00813130" w:rsidRPr="00EA6251">
        <w:rPr>
          <w:rFonts w:ascii="Arial" w:hAnsi="Arial" w:cs="Arial"/>
          <w:b/>
          <w:sz w:val="22"/>
          <w:szCs w:val="22"/>
        </w:rPr>
        <w:t xml:space="preserve"> Královéhradecký </w:t>
      </w:r>
      <w:r w:rsidRPr="00EA6251">
        <w:rPr>
          <w:rFonts w:ascii="Arial" w:hAnsi="Arial" w:cs="Arial"/>
          <w:b/>
          <w:sz w:val="22"/>
          <w:szCs w:val="22"/>
        </w:rPr>
        <w:t>kraj</w:t>
      </w:r>
      <w:r w:rsidR="00FD0689" w:rsidRPr="00EA6251">
        <w:rPr>
          <w:rFonts w:ascii="Arial" w:hAnsi="Arial" w:cs="Arial"/>
          <w:b/>
          <w:sz w:val="22"/>
          <w:szCs w:val="22"/>
        </w:rPr>
        <w:t xml:space="preserve"> </w:t>
      </w:r>
      <w:r w:rsidR="00522601" w:rsidRPr="00EA6251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EA6251">
        <w:rPr>
          <w:rFonts w:ascii="Arial" w:hAnsi="Arial" w:cs="Arial"/>
          <w:b/>
          <w:sz w:val="22"/>
          <w:szCs w:val="22"/>
        </w:rPr>
        <w:t xml:space="preserve">jeho </w:t>
      </w:r>
      <w:proofErr w:type="gramStart"/>
      <w:r w:rsidR="00FD0689" w:rsidRPr="00EA6251">
        <w:rPr>
          <w:rFonts w:ascii="Arial" w:hAnsi="Arial" w:cs="Arial"/>
          <w:b/>
          <w:sz w:val="22"/>
          <w:szCs w:val="22"/>
        </w:rPr>
        <w:t>poboč</w:t>
      </w:r>
      <w:r w:rsidR="00522601" w:rsidRPr="00EA6251">
        <w:rPr>
          <w:rFonts w:ascii="Arial" w:hAnsi="Arial" w:cs="Arial"/>
          <w:b/>
          <w:sz w:val="22"/>
          <w:szCs w:val="22"/>
        </w:rPr>
        <w:t>ek</w:t>
      </w:r>
      <w:r w:rsidR="00813130" w:rsidRPr="00EA6251">
        <w:rPr>
          <w:rFonts w:ascii="Arial" w:hAnsi="Arial" w:cs="Arial"/>
          <w:b/>
          <w:sz w:val="22"/>
          <w:szCs w:val="22"/>
        </w:rPr>
        <w:t xml:space="preserve"> - Ocenění</w:t>
      </w:r>
      <w:proofErr w:type="gramEnd"/>
      <w:r w:rsidR="00813130" w:rsidRPr="00EA6251">
        <w:rPr>
          <w:rFonts w:ascii="Arial" w:hAnsi="Arial" w:cs="Arial"/>
          <w:b/>
          <w:sz w:val="22"/>
          <w:szCs w:val="22"/>
        </w:rPr>
        <w:t xml:space="preserve"> staveb, stavebních</w:t>
      </w:r>
      <w:r w:rsidR="00A555F4" w:rsidRPr="00EA6251">
        <w:rPr>
          <w:rFonts w:ascii="Arial" w:hAnsi="Arial" w:cs="Arial"/>
          <w:b/>
          <w:sz w:val="22"/>
          <w:szCs w:val="22"/>
        </w:rPr>
        <w:t xml:space="preserve"> pozemků a věcných břemen v Královéhradeckém kraji</w:t>
      </w:r>
      <w:r w:rsidR="00E220F4" w:rsidRPr="00813130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632E0962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6DC725F0" w:rsidR="009820D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C076492" w14:textId="77777777" w:rsidR="00F14857" w:rsidRPr="00936B10" w:rsidRDefault="00F14857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6E186B36" w:rsidR="00D94C73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39D5DC85" w14:textId="77777777" w:rsidR="00F14857" w:rsidRPr="00F14857" w:rsidRDefault="00F14857" w:rsidP="00936B1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2B7F1B89" w:rsidR="00FA2FCE" w:rsidRDefault="00FA2FCE" w:rsidP="00936B10">
      <w:pPr>
        <w:ind w:left="360"/>
        <w:rPr>
          <w:rFonts w:ascii="Arial" w:hAnsi="Arial" w:cs="Arial"/>
          <w:sz w:val="22"/>
          <w:szCs w:val="22"/>
          <w:highlight w:val="green"/>
        </w:rPr>
      </w:pPr>
      <w:r w:rsidRPr="00F14857">
        <w:rPr>
          <w:rFonts w:ascii="Arial" w:hAnsi="Arial" w:cs="Arial"/>
          <w:sz w:val="22"/>
          <w:szCs w:val="22"/>
          <w:highlight w:val="green"/>
        </w:rPr>
        <w:t xml:space="preserve">Zhotovitel </w:t>
      </w:r>
      <w:r w:rsidR="00D94C73" w:rsidRPr="00F14857">
        <w:rPr>
          <w:rFonts w:ascii="Arial" w:hAnsi="Arial" w:cs="Arial"/>
          <w:sz w:val="22"/>
          <w:szCs w:val="22"/>
          <w:highlight w:val="green"/>
        </w:rPr>
        <w:t>č. 1 ze dne</w:t>
      </w:r>
      <w:r w:rsidRPr="00F14857">
        <w:rPr>
          <w:rFonts w:ascii="Arial" w:hAnsi="Arial" w:cs="Arial"/>
          <w:sz w:val="22"/>
          <w:szCs w:val="22"/>
          <w:highlight w:val="green"/>
        </w:rPr>
        <w:t>……</w:t>
      </w:r>
      <w:proofErr w:type="gramStart"/>
      <w:r w:rsidRPr="00F14857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F14857">
        <w:rPr>
          <w:rFonts w:ascii="Arial" w:hAnsi="Arial" w:cs="Arial"/>
          <w:sz w:val="22"/>
          <w:szCs w:val="22"/>
          <w:highlight w:val="green"/>
        </w:rPr>
        <w:t>.</w:t>
      </w:r>
      <w:r w:rsidR="00D94C73" w:rsidRPr="00F14857">
        <w:rPr>
          <w:rFonts w:ascii="Arial" w:hAnsi="Arial" w:cs="Arial"/>
          <w:sz w:val="22"/>
          <w:szCs w:val="22"/>
          <w:highlight w:val="green"/>
        </w:rPr>
        <w:t xml:space="preserve"> ……..</w:t>
      </w:r>
    </w:p>
    <w:p w14:paraId="083E3DB5" w14:textId="77777777" w:rsidR="00F14857" w:rsidRPr="00B608E1" w:rsidRDefault="00F14857" w:rsidP="00F14857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F14857">
        <w:rPr>
          <w:rFonts w:ascii="Arial" w:hAnsi="Arial" w:cs="Arial"/>
          <w:sz w:val="22"/>
          <w:szCs w:val="22"/>
          <w:highlight w:val="green"/>
        </w:rPr>
        <w:t>Zhotovitel č. 1 ze dne……</w:t>
      </w:r>
      <w:proofErr w:type="gramStart"/>
      <w:r w:rsidRPr="00F14857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F14857">
        <w:rPr>
          <w:rFonts w:ascii="Arial" w:hAnsi="Arial" w:cs="Arial"/>
          <w:sz w:val="22"/>
          <w:szCs w:val="22"/>
          <w:highlight w:val="green"/>
        </w:rPr>
        <w:t>. ……..</w:t>
      </w:r>
    </w:p>
    <w:p w14:paraId="6A789BB0" w14:textId="77777777" w:rsidR="00F14857" w:rsidRPr="00B608E1" w:rsidRDefault="00F14857" w:rsidP="00F14857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F14857">
        <w:rPr>
          <w:rFonts w:ascii="Arial" w:hAnsi="Arial" w:cs="Arial"/>
          <w:sz w:val="22"/>
          <w:szCs w:val="22"/>
          <w:highlight w:val="green"/>
        </w:rPr>
        <w:t>Zhotovitel č. 1 ze dne……</w:t>
      </w:r>
      <w:proofErr w:type="gramStart"/>
      <w:r w:rsidRPr="00F14857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F14857">
        <w:rPr>
          <w:rFonts w:ascii="Arial" w:hAnsi="Arial" w:cs="Arial"/>
          <w:sz w:val="22"/>
          <w:szCs w:val="22"/>
          <w:highlight w:val="green"/>
        </w:rPr>
        <w:t>. ……..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782AE537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184A54B2" w:rsidR="00D94C73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69FEB68" w14:textId="77777777" w:rsidR="00B71B96" w:rsidRPr="00936B10" w:rsidRDefault="00B71B96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75334840" w:rsidR="00D94C73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4B67ACCB" w14:textId="77777777" w:rsidR="00CF2253" w:rsidRPr="00CF2253" w:rsidRDefault="00CF2253" w:rsidP="00CF2253">
      <w:pPr>
        <w:rPr>
          <w:rFonts w:ascii="Arial" w:hAnsi="Arial" w:cs="Arial"/>
          <w:sz w:val="22"/>
          <w:szCs w:val="22"/>
        </w:rPr>
      </w:pPr>
    </w:p>
    <w:p w14:paraId="3EF2E258" w14:textId="3EB4C709" w:rsidR="00D94C73" w:rsidRPr="00B608E1" w:rsidRDefault="00D94C73" w:rsidP="00831065">
      <w:pPr>
        <w:pStyle w:val="Zkladntextodsazen2"/>
        <w:numPr>
          <w:ilvl w:val="0"/>
          <w:numId w:val="26"/>
        </w:numPr>
        <w:tabs>
          <w:tab w:val="left" w:pos="567"/>
        </w:tabs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29EFBA52" w14:textId="0AB66E01" w:rsidR="00D83EED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9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953"/>
      </w:tblGrid>
      <w:tr w:rsidR="00706922" w:rsidRPr="003D05EC" w14:paraId="3C1A4A5A" w14:textId="77777777" w:rsidTr="00DC4D70">
        <w:trPr>
          <w:trHeight w:val="375"/>
          <w:jc w:val="center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66C559FE" w14:textId="67E64459" w:rsidR="00706922" w:rsidRPr="003D05EC" w:rsidRDefault="00706922" w:rsidP="0070692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(tj. pozemky pod stavbou jiného vlastníka)</w:t>
            </w:r>
          </w:p>
        </w:tc>
      </w:tr>
      <w:tr w:rsidR="000B1581" w:rsidRPr="003D05EC" w14:paraId="61E4593F" w14:textId="77777777" w:rsidTr="00013EA2">
        <w:trPr>
          <w:trHeight w:val="595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A339CF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Položka</w:t>
            </w:r>
          </w:p>
          <w:p w14:paraId="2BED8F3F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39D1D95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D84B1B9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76A2E2D1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0B1581" w:rsidRPr="003D05EC" w14:paraId="5EA14680" w14:textId="77777777" w:rsidTr="00013EA2">
        <w:trPr>
          <w:trHeight w:val="458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A054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7336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970B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„Podle vyhlášky č. 182/1988 Sb.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 znění vyhlášky č.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316/1990 Sb.“ 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2BDC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B1581" w:rsidRPr="003D05EC" w14:paraId="1C259031" w14:textId="77777777" w:rsidTr="00831065">
        <w:trPr>
          <w:trHeight w:val="458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8373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C2A5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1520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49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36A7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0B1581" w:rsidRPr="003D05EC" w14:paraId="73576A4C" w14:textId="77777777" w:rsidTr="00831065">
        <w:trPr>
          <w:trHeight w:val="458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7473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5903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9DE3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C01F" w14:textId="77777777" w:rsidR="000B1581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pozemky včetně všech součástí a příslušenství. </w:t>
            </w:r>
          </w:p>
          <w:p w14:paraId="383C10A5" w14:textId="77777777" w:rsidR="000B1581" w:rsidRPr="003D05EC" w:rsidRDefault="000B1581" w:rsidP="00013EA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</w:tbl>
    <w:p w14:paraId="7B95D613" w14:textId="77777777" w:rsidR="000B1581" w:rsidRPr="000A33D7" w:rsidRDefault="000B1581" w:rsidP="000B1581">
      <w:pPr>
        <w:rPr>
          <w:rFonts w:ascii="Arial" w:hAnsi="Arial" w:cs="Arial"/>
          <w:sz w:val="20"/>
          <w:szCs w:val="20"/>
        </w:rPr>
      </w:pPr>
    </w:p>
    <w:tbl>
      <w:tblPr>
        <w:tblW w:w="94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888"/>
        <w:gridCol w:w="154"/>
        <w:gridCol w:w="6"/>
      </w:tblGrid>
      <w:tr w:rsidR="000B1581" w:rsidRPr="003D05EC" w14:paraId="0550BBCA" w14:textId="77777777" w:rsidTr="00013EA2">
        <w:trPr>
          <w:trHeight w:val="335"/>
          <w:jc w:val="center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C5D9F1"/>
            <w:noWrap/>
            <w:vAlign w:val="bottom"/>
            <w:hideMark/>
          </w:tcPr>
          <w:p w14:paraId="3E428978" w14:textId="77777777" w:rsidR="000B1581" w:rsidRPr="003D05EC" w:rsidRDefault="000B1581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Stavby</w:t>
            </w:r>
          </w:p>
        </w:tc>
        <w:tc>
          <w:tcPr>
            <w:tcW w:w="17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C5D9F1"/>
            <w:noWrap/>
            <w:vAlign w:val="center"/>
            <w:hideMark/>
          </w:tcPr>
          <w:p w14:paraId="19A09018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5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C5D9F1"/>
            <w:vAlign w:val="center"/>
            <w:hideMark/>
          </w:tcPr>
          <w:p w14:paraId="3FC4B7D8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14:paraId="78CDAC1D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B1581" w:rsidRPr="003D05EC" w14:paraId="1B1E5AE0" w14:textId="77777777" w:rsidTr="00013EA2">
        <w:trPr>
          <w:gridAfter w:val="1"/>
          <w:wAfter w:w="6" w:type="dxa"/>
          <w:trHeight w:val="632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540F38D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7CC206C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048B8D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126A8288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0B1581" w:rsidRPr="003D05EC" w14:paraId="50BCE83A" w14:textId="77777777" w:rsidTr="00013EA2">
        <w:trPr>
          <w:gridAfter w:val="1"/>
          <w:wAfter w:w="6" w:type="dxa"/>
          <w:trHeight w:val="9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1F4CE" w14:textId="5B81EE5A" w:rsidR="000B1581" w:rsidRDefault="003A4F4E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4BA8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4BE8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vyhlášky č. 182/1988 Sb.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 znění vyhlášky č.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316/1990 Sb.</w:t>
            </w:r>
          </w:p>
        </w:tc>
        <w:tc>
          <w:tcPr>
            <w:tcW w:w="5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B33D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2CE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Oceňování administrativní nebo správní budovy, rod. domu, nebo bytového domu včetně všech součástí a příslušenství,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případně včetně </w:t>
            </w:r>
            <w:r w:rsidRPr="002C2CEF">
              <w:rPr>
                <w:rFonts w:ascii="Arial" w:hAnsi="Arial" w:cs="Arial"/>
                <w:color w:val="000000" w:themeColor="text1"/>
                <w:sz w:val="18"/>
                <w:szCs w:val="18"/>
              </w:rPr>
              <w:t>pozemku pod stavbou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2C2CE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cenou zjištěnou podle vyhlášky č. 182/1988 Sb., ve znění vyhlášky č. 316/1990 Sb., pro účely zákona č. 229/1991 Sb., ve znění pozdějších předpisů.</w:t>
            </w:r>
          </w:p>
        </w:tc>
      </w:tr>
      <w:tr w:rsidR="000B1581" w:rsidRPr="003D05EC" w14:paraId="26E7A3D3" w14:textId="77777777" w:rsidTr="00013EA2">
        <w:trPr>
          <w:gridAfter w:val="1"/>
          <w:wAfter w:w="6" w:type="dxa"/>
          <w:trHeight w:val="564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5D454" w14:textId="352A8A31" w:rsidR="000B1581" w:rsidRDefault="003A4F4E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A3DD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06D0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vyhlášky č. 182/1988 Sb.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 znění vyhlášky č.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316/1990 Sb.</w:t>
            </w:r>
          </w:p>
        </w:tc>
        <w:tc>
          <w:tcPr>
            <w:tcW w:w="5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835E0" w14:textId="77777777" w:rsidR="000B1581" w:rsidRPr="00C949AF" w:rsidRDefault="000B1581" w:rsidP="00013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t>Oceňování zemědělských nebo ostatních budov a staveb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případně včetně </w:t>
            </w: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t>pozemku pod stavbou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t>cenou zjištěnou podle vyhlášky č. 182/1988 Sb., ve znění vyhlášky č. 316/1990 Sb., pro účely zákona č. 229/1991 Sb., ve znění pozdějších předpisů.</w:t>
            </w:r>
          </w:p>
        </w:tc>
      </w:tr>
      <w:tr w:rsidR="000B1581" w:rsidRPr="003D05EC" w14:paraId="27DE7878" w14:textId="77777777" w:rsidTr="00013EA2">
        <w:trPr>
          <w:gridAfter w:val="1"/>
          <w:wAfter w:w="6" w:type="dxa"/>
          <w:trHeight w:val="9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49A24" w14:textId="0AFB83EC" w:rsidR="000B1581" w:rsidRDefault="003A4F4E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A0B4E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79F7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CF45" w14:textId="77777777" w:rsidR="000B1581" w:rsidRDefault="000B1581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2C2CEF">
              <w:rPr>
                <w:rFonts w:ascii="Arial" w:hAnsi="Arial" w:cs="Arial"/>
                <w:sz w:val="18"/>
                <w:szCs w:val="18"/>
              </w:rPr>
              <w:t>Oceňování staveb rodinného domu včetně všech součástí a příslušenství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případně </w:t>
            </w:r>
            <w:r>
              <w:rPr>
                <w:rFonts w:ascii="Arial" w:hAnsi="Arial" w:cs="Arial"/>
                <w:sz w:val="18"/>
                <w:szCs w:val="18"/>
              </w:rPr>
              <w:t>včetně</w:t>
            </w:r>
            <w:r w:rsidRPr="002C2CEF">
              <w:rPr>
                <w:rFonts w:ascii="Arial" w:hAnsi="Arial" w:cs="Arial"/>
                <w:sz w:val="18"/>
                <w:szCs w:val="18"/>
              </w:rPr>
              <w:t xml:space="preserve"> pozemku pod stavbou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C2CEF">
              <w:rPr>
                <w:rFonts w:ascii="Arial" w:hAnsi="Arial" w:cs="Arial"/>
                <w:sz w:val="18"/>
                <w:szCs w:val="18"/>
              </w:rPr>
              <w:t xml:space="preserve"> obvyklou cenou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F38266" w14:textId="77777777" w:rsidR="000B1581" w:rsidRPr="002C2CEF" w:rsidRDefault="000B1581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  <w:tr w:rsidR="000B1581" w:rsidRPr="003D05EC" w14:paraId="6E164E94" w14:textId="77777777" w:rsidTr="00013EA2">
        <w:trPr>
          <w:gridAfter w:val="1"/>
          <w:wAfter w:w="6" w:type="dxa"/>
          <w:trHeight w:val="9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05F46" w14:textId="47099F23" w:rsidR="000B1581" w:rsidRDefault="003A4F4E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3C571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A3EB0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E072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2CEF">
              <w:rPr>
                <w:rFonts w:ascii="Arial" w:hAnsi="Arial" w:cs="Arial"/>
                <w:sz w:val="18"/>
                <w:szCs w:val="18"/>
              </w:rPr>
              <w:t>Oceňování bytového domu a administrativní nebo správní budovy včetně všech součástí a příslušenství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případně </w:t>
            </w:r>
            <w:r>
              <w:rPr>
                <w:rFonts w:ascii="Arial" w:hAnsi="Arial" w:cs="Arial"/>
                <w:sz w:val="18"/>
                <w:szCs w:val="18"/>
              </w:rPr>
              <w:t>včetně</w:t>
            </w:r>
            <w:r w:rsidRPr="002C2CEF">
              <w:rPr>
                <w:rFonts w:ascii="Arial" w:hAnsi="Arial" w:cs="Arial"/>
                <w:sz w:val="18"/>
                <w:szCs w:val="18"/>
              </w:rPr>
              <w:t xml:space="preserve"> pozemku pod stavbou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C2CEF">
              <w:rPr>
                <w:rFonts w:ascii="Arial" w:hAnsi="Arial" w:cs="Arial"/>
                <w:sz w:val="18"/>
                <w:szCs w:val="18"/>
              </w:rPr>
              <w:t xml:space="preserve"> obvyklou cenou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 xml:space="preserve"> 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  <w:tr w:rsidR="000B1581" w:rsidRPr="003D05EC" w14:paraId="0119063B" w14:textId="77777777" w:rsidTr="00013EA2">
        <w:trPr>
          <w:gridAfter w:val="1"/>
          <w:wAfter w:w="6" w:type="dxa"/>
          <w:trHeight w:val="564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16372" w14:textId="0D325923" w:rsidR="000B1581" w:rsidRDefault="003A4F4E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0AF8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9DEB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D0155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2CEF">
              <w:rPr>
                <w:rFonts w:ascii="Arial" w:hAnsi="Arial" w:cs="Arial"/>
                <w:sz w:val="18"/>
                <w:szCs w:val="18"/>
              </w:rPr>
              <w:t xml:space="preserve">Oceňování zemědělských nebo ostatních budov a staveb včetně všech součástí a příslušenství,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případně včetně </w:t>
            </w:r>
            <w:r w:rsidRPr="002C2CEF">
              <w:rPr>
                <w:rFonts w:ascii="Arial" w:hAnsi="Arial" w:cs="Arial"/>
                <w:sz w:val="18"/>
                <w:szCs w:val="18"/>
              </w:rPr>
              <w:t>pozemku pod stavbou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2C2CEF">
              <w:rPr>
                <w:rFonts w:ascii="Arial" w:hAnsi="Arial" w:cs="Arial"/>
                <w:sz w:val="18"/>
                <w:szCs w:val="18"/>
              </w:rPr>
              <w:t>obvyklou cenou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 xml:space="preserve"> 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  <w:tr w:rsidR="000B1581" w:rsidRPr="003D05EC" w14:paraId="56408D82" w14:textId="77777777" w:rsidTr="00013EA2">
        <w:trPr>
          <w:gridAfter w:val="1"/>
          <w:wAfter w:w="6" w:type="dxa"/>
          <w:trHeight w:val="606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0AB93" w14:textId="708E6521" w:rsidR="000B1581" w:rsidRDefault="003A4F4E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EB56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2BBF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Zjištěná“</w:t>
            </w:r>
          </w:p>
        </w:tc>
        <w:tc>
          <w:tcPr>
            <w:tcW w:w="5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E846" w14:textId="77777777" w:rsidR="000B1581" w:rsidRPr="00C31A43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 společně s pozemky pod stavbou 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4CB62AA" w14:textId="77777777" w:rsidR="00E9179F" w:rsidRPr="00707015" w:rsidRDefault="00E9179F" w:rsidP="000B1581">
      <w:pPr>
        <w:rPr>
          <w:rFonts w:ascii="Arial" w:hAnsi="Arial" w:cs="Arial"/>
          <w:sz w:val="20"/>
          <w:szCs w:val="20"/>
        </w:rPr>
      </w:pP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889"/>
        <w:gridCol w:w="206"/>
      </w:tblGrid>
      <w:tr w:rsidR="000B1581" w:rsidRPr="003D05EC" w14:paraId="62338131" w14:textId="77777777" w:rsidTr="00013EA2">
        <w:trPr>
          <w:trHeight w:val="375"/>
          <w:jc w:val="center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C5D9F1"/>
            <w:noWrap/>
            <w:vAlign w:val="bottom"/>
            <w:hideMark/>
          </w:tcPr>
          <w:p w14:paraId="5A7282F6" w14:textId="77777777" w:rsidR="000B1581" w:rsidRPr="003D05EC" w:rsidRDefault="000B1581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Rybníky</w:t>
            </w:r>
          </w:p>
        </w:tc>
        <w:tc>
          <w:tcPr>
            <w:tcW w:w="17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C5D9F1"/>
            <w:noWrap/>
            <w:vAlign w:val="center"/>
            <w:hideMark/>
          </w:tcPr>
          <w:p w14:paraId="7616FFE4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5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C5D9F1"/>
            <w:vAlign w:val="center"/>
            <w:hideMark/>
          </w:tcPr>
          <w:p w14:paraId="6B63B693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14:paraId="6B602334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B1581" w:rsidRPr="003D05EC" w14:paraId="1D478D80" w14:textId="77777777" w:rsidTr="00013EA2">
        <w:trPr>
          <w:trHeight w:val="545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6CF02604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Položka 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3EF52E6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F4C2DAE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0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88123CF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0B1581" w:rsidRPr="003D05EC" w14:paraId="521368EE" w14:textId="77777777" w:rsidTr="00013EA2">
        <w:trPr>
          <w:trHeight w:val="825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1E0C" w14:textId="6D1F167A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3A4F4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9531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42AF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vyhlášky č. 182/1988 Sb.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 znění vyhlášky č.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316/1990 Sb.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C3EACD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</w:t>
            </w:r>
          </w:p>
        </w:tc>
      </w:tr>
      <w:tr w:rsidR="000B1581" w:rsidRPr="003D05EC" w14:paraId="70ABEF2F" w14:textId="77777777" w:rsidTr="00E9179F">
        <w:trPr>
          <w:trHeight w:val="620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4B45" w14:textId="20CF42BA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3A4F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7168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665E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B7F7D9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Oceňování rybníku včetně všech součástí a příslušenství a souvisejících pozemků </w:t>
            </w:r>
          </w:p>
        </w:tc>
      </w:tr>
      <w:tr w:rsidR="000B1581" w:rsidRPr="003D05EC" w14:paraId="538489D5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D67D" w14:textId="06AD8D85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3A4F4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28FE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58DC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DFCA" w14:textId="77777777" w:rsidR="000B1581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pozemků.</w:t>
            </w:r>
          </w:p>
          <w:p w14:paraId="5740297D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</w:tbl>
    <w:p w14:paraId="1EA8A006" w14:textId="77777777" w:rsidR="000B1581" w:rsidRPr="00052F94" w:rsidRDefault="000B1581" w:rsidP="000B1581">
      <w:pPr>
        <w:rPr>
          <w:rFonts w:ascii="Arial" w:hAnsi="Arial" w:cs="Arial"/>
          <w:sz w:val="20"/>
          <w:szCs w:val="20"/>
        </w:rPr>
      </w:pP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5095"/>
      </w:tblGrid>
      <w:tr w:rsidR="000B1581" w:rsidRPr="003D05EC" w14:paraId="6806C906" w14:textId="77777777" w:rsidTr="00013EA2">
        <w:trPr>
          <w:trHeight w:val="375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460FD262" w14:textId="77777777" w:rsidR="000B1581" w:rsidRPr="003D05EC" w:rsidRDefault="000B1581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Právo a jiné majetkové hodnoty (obvyklé nájemné, cena věcných břemen aj.)</w:t>
            </w:r>
          </w:p>
        </w:tc>
      </w:tr>
      <w:tr w:rsidR="000B1581" w:rsidRPr="003D05EC" w14:paraId="473C5C9F" w14:textId="77777777" w:rsidTr="00013EA2">
        <w:trPr>
          <w:trHeight w:val="748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75AD9B2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35E7ECC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B33189F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724474A9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0B1581" w:rsidRPr="003D05EC" w14:paraId="0A34C8E7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A28E2" w14:textId="6330EDEC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3A4F4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F603D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BBAA3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3B4B6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Určení ceny práv a jiných majetkových hodnot, nájemné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staveb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aj. </w:t>
            </w:r>
          </w:p>
          <w:p w14:paraId="6E889E7B" w14:textId="77777777" w:rsidR="000B1581" w:rsidRPr="003D05EC" w:rsidRDefault="000B1581" w:rsidP="00013EA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  <w:tr w:rsidR="000B1581" w:rsidRPr="003D05EC" w14:paraId="389CC57F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BEEE8" w14:textId="78283E14" w:rsidR="000B1581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3A4F4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8FB78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Věcné břemeno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4057B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Zjištěná“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3262F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Oceňuje se věcné břemeno cenou zjištěnou.</w:t>
            </w:r>
          </w:p>
        </w:tc>
      </w:tr>
    </w:tbl>
    <w:p w14:paraId="71516CAE" w14:textId="77777777" w:rsidR="000B1581" w:rsidRDefault="000B1581" w:rsidP="000B1581">
      <w:pPr>
        <w:rPr>
          <w:rFonts w:ascii="Arial" w:hAnsi="Arial" w:cs="Arial"/>
          <w:sz w:val="20"/>
          <w:szCs w:val="20"/>
        </w:rPr>
      </w:pP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5095"/>
      </w:tblGrid>
      <w:tr w:rsidR="000B1581" w:rsidRPr="003D05EC" w14:paraId="6C15A67F" w14:textId="77777777" w:rsidTr="00013EA2">
        <w:trPr>
          <w:trHeight w:val="364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5BC33D5B" w14:textId="77777777" w:rsidR="000B1581" w:rsidRPr="003D05EC" w:rsidRDefault="000B1581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0B1581" w:rsidRPr="003D05EC" w14:paraId="455A2AAB" w14:textId="77777777" w:rsidTr="00013EA2">
        <w:trPr>
          <w:trHeight w:val="71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A13932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1BEBBC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2F6A74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13D834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0B1581" w:rsidRPr="003D05EC" w14:paraId="5B487ECC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3AB8D" w14:textId="1E5547DC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3A4F4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91A5D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528F7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17B00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</w:tr>
    </w:tbl>
    <w:p w14:paraId="0735431C" w14:textId="77777777" w:rsidR="000B1581" w:rsidRPr="00944AA2" w:rsidRDefault="000B1581" w:rsidP="000B1581">
      <w:pPr>
        <w:rPr>
          <w:rFonts w:ascii="Arial" w:hAnsi="Arial" w:cs="Arial"/>
          <w:sz w:val="20"/>
          <w:szCs w:val="20"/>
        </w:rPr>
      </w:pP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5095"/>
      </w:tblGrid>
      <w:tr w:rsidR="00944AA2" w:rsidRPr="00944AA2" w14:paraId="0BC9CBC9" w14:textId="77777777" w:rsidTr="00013EA2">
        <w:trPr>
          <w:trHeight w:val="202"/>
          <w:jc w:val="center"/>
        </w:trPr>
        <w:tc>
          <w:tcPr>
            <w:tcW w:w="4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C5D9F1"/>
            <w:noWrap/>
            <w:vAlign w:val="bottom"/>
            <w:hideMark/>
          </w:tcPr>
          <w:p w14:paraId="215C4B56" w14:textId="77777777" w:rsidR="000B1581" w:rsidRPr="00944AA2" w:rsidRDefault="000B1581" w:rsidP="00013EA2">
            <w:pPr>
              <w:rPr>
                <w:rFonts w:ascii="Arial" w:hAnsi="Arial" w:cs="Arial"/>
                <w:b/>
                <w:bCs/>
              </w:rPr>
            </w:pPr>
            <w:r w:rsidRPr="00944AA2">
              <w:rPr>
                <w:rFonts w:ascii="Arial" w:hAnsi="Arial" w:cs="Arial"/>
                <w:b/>
                <w:bCs/>
              </w:rPr>
              <w:t>Škody na majetku</w:t>
            </w:r>
          </w:p>
        </w:tc>
        <w:tc>
          <w:tcPr>
            <w:tcW w:w="5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14:paraId="6CC2E4A0" w14:textId="77777777" w:rsidR="000B1581" w:rsidRPr="00944AA2" w:rsidRDefault="000B1581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44AA2" w:rsidRPr="00944AA2" w14:paraId="74D99D51" w14:textId="77777777" w:rsidTr="00013EA2">
        <w:trPr>
          <w:trHeight w:val="751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9B82A9" w14:textId="77777777" w:rsidR="000B1581" w:rsidRPr="00944AA2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F0606B" w14:textId="77777777" w:rsidR="000B1581" w:rsidRPr="00944AA2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7AFA63D" w14:textId="77777777" w:rsidR="000B1581" w:rsidRPr="00944AA2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Typ ceny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688942EE" w14:textId="77777777" w:rsidR="000B1581" w:rsidRPr="00944AA2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Popis služby požadované ve znaleckém posudku</w:t>
            </w:r>
          </w:p>
        </w:tc>
      </w:tr>
      <w:tr w:rsidR="00944AA2" w:rsidRPr="00944AA2" w14:paraId="513EADB6" w14:textId="77777777" w:rsidTr="00013EA2">
        <w:trPr>
          <w:trHeight w:val="978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52C1A" w14:textId="02918BED" w:rsidR="000B1581" w:rsidRPr="00944AA2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1</w:t>
            </w:r>
            <w:r w:rsidR="003A4F4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9CF11" w14:textId="77777777" w:rsidR="000B1581" w:rsidRPr="00944AA2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 xml:space="preserve">Škody na majetku 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8F0D" w14:textId="77777777" w:rsidR="000B1581" w:rsidRPr="00944AA2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Bude upřesněn objednávkou dle charakteru škody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1B153" w14:textId="77777777" w:rsidR="000B1581" w:rsidRPr="00944AA2" w:rsidRDefault="000B1581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Výpočet náhrady škody na majetku, například na stavbách, na trvalých porostech, může to být určení výše újmy vlastníka způsobené neoprávněným pokácením dřevin rostoucích mimo les nebo v lese.</w:t>
            </w:r>
          </w:p>
          <w:p w14:paraId="3E2CA18F" w14:textId="77777777" w:rsidR="000B1581" w:rsidRPr="00944AA2" w:rsidRDefault="000B1581" w:rsidP="00013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9AF2E2" w14:textId="77777777" w:rsidR="000B1581" w:rsidRPr="00944AA2" w:rsidRDefault="000B1581" w:rsidP="000B1581">
      <w:pPr>
        <w:rPr>
          <w:rFonts w:ascii="Arial" w:hAnsi="Arial" w:cs="Arial"/>
          <w:sz w:val="20"/>
          <w:szCs w:val="20"/>
        </w:rPr>
      </w:pP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5095"/>
      </w:tblGrid>
      <w:tr w:rsidR="00944AA2" w:rsidRPr="00944AA2" w14:paraId="28D2652C" w14:textId="77777777" w:rsidTr="00013EA2">
        <w:trPr>
          <w:trHeight w:val="375"/>
          <w:jc w:val="center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0F64CB28" w14:textId="77777777" w:rsidR="000B1581" w:rsidRPr="00944AA2" w:rsidRDefault="000B1581" w:rsidP="00013EA2">
            <w:pPr>
              <w:rPr>
                <w:rFonts w:ascii="Arial" w:hAnsi="Arial" w:cs="Arial"/>
                <w:b/>
                <w:bCs/>
              </w:rPr>
            </w:pPr>
            <w:r w:rsidRPr="00944AA2">
              <w:rPr>
                <w:rFonts w:ascii="Arial" w:hAnsi="Arial" w:cs="Arial"/>
                <w:b/>
                <w:bCs/>
              </w:rPr>
              <w:t>Srovnatelné nájemné obvyklé v daném místě (byty a domy)</w:t>
            </w:r>
          </w:p>
        </w:tc>
      </w:tr>
      <w:tr w:rsidR="00944AA2" w:rsidRPr="00944AA2" w14:paraId="556AC0A3" w14:textId="77777777" w:rsidTr="00013EA2">
        <w:trPr>
          <w:trHeight w:val="686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A7FFFD5" w14:textId="77777777" w:rsidR="000B1581" w:rsidRPr="00944AA2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B8666B9" w14:textId="77777777" w:rsidR="000B1581" w:rsidRPr="00944AA2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E1F809A" w14:textId="77777777" w:rsidR="000B1581" w:rsidRPr="00944AA2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Typ ceny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9957307" w14:textId="77777777" w:rsidR="000B1581" w:rsidRPr="00944AA2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Popis služby požadované ve znaleckém posudku</w:t>
            </w:r>
          </w:p>
        </w:tc>
      </w:tr>
      <w:tr w:rsidR="00944AA2" w:rsidRPr="00944AA2" w14:paraId="0E446F79" w14:textId="77777777" w:rsidTr="00013EA2">
        <w:trPr>
          <w:trHeight w:val="615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D1909" w14:textId="1BD8D179" w:rsidR="000B1581" w:rsidRPr="00944AA2" w:rsidRDefault="003A4F4E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656B9" w14:textId="77777777" w:rsidR="000B1581" w:rsidRPr="00944AA2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Byt, dům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9B2C7" w14:textId="77777777" w:rsidR="000B1581" w:rsidRPr="00944AA2" w:rsidRDefault="000B1581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>Podle nařízení vlády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C3F47" w14:textId="77777777" w:rsidR="000B1581" w:rsidRPr="00944AA2" w:rsidRDefault="000B1581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944AA2">
              <w:rPr>
                <w:rFonts w:ascii="Arial" w:hAnsi="Arial" w:cs="Arial"/>
                <w:sz w:val="18"/>
                <w:szCs w:val="18"/>
              </w:rPr>
              <w:t xml:space="preserve">Určení srovnatelného nájemného obvyklého v daném místě podle nařízení vlády č. 453/2013 Sb. </w:t>
            </w:r>
          </w:p>
        </w:tc>
      </w:tr>
    </w:tbl>
    <w:p w14:paraId="346ADB05" w14:textId="77777777" w:rsidR="00E9179F" w:rsidRPr="006B1A33" w:rsidRDefault="00E9179F" w:rsidP="000B1581">
      <w:pPr>
        <w:rPr>
          <w:rFonts w:ascii="Arial" w:hAnsi="Arial" w:cs="Arial"/>
          <w:sz w:val="20"/>
          <w:szCs w:val="20"/>
        </w:rPr>
      </w:pP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8263"/>
      </w:tblGrid>
      <w:tr w:rsidR="000B1581" w:rsidRPr="003D05EC" w14:paraId="41D420CE" w14:textId="77777777" w:rsidTr="00013EA2">
        <w:trPr>
          <w:trHeight w:val="330"/>
          <w:jc w:val="center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1232CC4B" w14:textId="77777777" w:rsidR="000B1581" w:rsidRPr="003D05EC" w:rsidRDefault="000B1581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</w:tr>
      <w:tr w:rsidR="000B1581" w:rsidRPr="003D05EC" w14:paraId="6B92AEA0" w14:textId="77777777" w:rsidTr="00013EA2">
        <w:trPr>
          <w:trHeight w:val="8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FB4439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F74F9D4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  <w:p w14:paraId="65A0F98E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B1581" w:rsidRPr="003D05EC" w14:paraId="36B2652B" w14:textId="77777777" w:rsidTr="00013EA2">
        <w:trPr>
          <w:trHeight w:val="3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21B7F" w14:textId="7D10B3F7" w:rsidR="000B1581" w:rsidRPr="003D05EC" w:rsidRDefault="003A4F4E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5BC38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 </w:t>
            </w:r>
          </w:p>
        </w:tc>
      </w:tr>
    </w:tbl>
    <w:p w14:paraId="74DFFEA1" w14:textId="77777777" w:rsidR="000B1581" w:rsidRPr="009C5C6B" w:rsidRDefault="000B1581" w:rsidP="000B1581">
      <w:pPr>
        <w:rPr>
          <w:rFonts w:ascii="Arial" w:hAnsi="Arial" w:cs="Arial"/>
          <w:sz w:val="20"/>
          <w:szCs w:val="20"/>
        </w:rPr>
      </w:pP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8263"/>
      </w:tblGrid>
      <w:tr w:rsidR="000B1581" w:rsidRPr="003D05EC" w14:paraId="1F18E26E" w14:textId="77777777" w:rsidTr="00013EA2">
        <w:trPr>
          <w:trHeight w:val="330"/>
          <w:jc w:val="center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503868CA" w14:textId="77777777" w:rsidR="000B1581" w:rsidRPr="003D05EC" w:rsidRDefault="000B1581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Aktualizace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znaleck</w:t>
            </w:r>
            <w:r>
              <w:rPr>
                <w:rFonts w:ascii="Arial" w:hAnsi="Arial" w:cs="Arial"/>
                <w:b/>
                <w:bCs/>
                <w:color w:val="000000"/>
              </w:rPr>
              <w:t>ého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posudk</w:t>
            </w:r>
            <w:r>
              <w:rPr>
                <w:rFonts w:ascii="Arial" w:hAnsi="Arial" w:cs="Arial"/>
                <w:b/>
                <w:bCs/>
                <w:color w:val="000000"/>
              </w:rPr>
              <w:t>u</w:t>
            </w:r>
          </w:p>
        </w:tc>
      </w:tr>
      <w:tr w:rsidR="000B1581" w:rsidRPr="003D05EC" w14:paraId="53353ABC" w14:textId="77777777" w:rsidTr="00013EA2">
        <w:trPr>
          <w:trHeight w:val="8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8B34FA9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203B4A0" w14:textId="77777777" w:rsidR="000B1581" w:rsidRPr="003D05EC" w:rsidRDefault="000B1581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 </w:t>
            </w:r>
          </w:p>
        </w:tc>
      </w:tr>
      <w:tr w:rsidR="000B1581" w:rsidRPr="003D05EC" w14:paraId="388CE2ED" w14:textId="77777777" w:rsidTr="00013EA2">
        <w:trPr>
          <w:trHeight w:val="3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B2B9E" w14:textId="3395D1AF" w:rsidR="000B1581" w:rsidRPr="003D05EC" w:rsidRDefault="003A4F4E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526C2" w14:textId="77777777" w:rsidR="000B1581" w:rsidRPr="003D05EC" w:rsidRDefault="000B1581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Podle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aktualiz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ovaného ZP </w:t>
            </w:r>
          </w:p>
        </w:tc>
      </w:tr>
    </w:tbl>
    <w:p w14:paraId="3953E20D" w14:textId="1599FE8B" w:rsidR="00CF2253" w:rsidRDefault="00CF2253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FC6D76A" w14:textId="1A42CAD6" w:rsidR="003A4F4E" w:rsidRDefault="003A4F4E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F6C389B" w14:textId="77777777" w:rsidR="003A4F4E" w:rsidRDefault="003A4F4E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lastRenderedPageBreak/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CF2253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F2253">
        <w:rPr>
          <w:rFonts w:ascii="Arial" w:hAnsi="Arial" w:cs="Arial"/>
          <w:b/>
          <w:sz w:val="22"/>
          <w:szCs w:val="22"/>
        </w:rPr>
        <w:t>Za</w:t>
      </w:r>
      <w:r w:rsidR="00FA2FCE" w:rsidRPr="00CF2253">
        <w:rPr>
          <w:rFonts w:ascii="Arial" w:hAnsi="Arial" w:cs="Arial"/>
          <w:b/>
          <w:sz w:val="22"/>
          <w:szCs w:val="22"/>
        </w:rPr>
        <w:t xml:space="preserve"> tuto výzvu</w:t>
      </w:r>
      <w:r w:rsidRPr="00CF2253">
        <w:rPr>
          <w:rFonts w:ascii="Arial" w:hAnsi="Arial" w:cs="Arial"/>
          <w:b/>
          <w:sz w:val="22"/>
          <w:szCs w:val="22"/>
        </w:rPr>
        <w:t> </w:t>
      </w:r>
      <w:r w:rsidR="00DD5B52" w:rsidRPr="00CF2253">
        <w:rPr>
          <w:rFonts w:ascii="Arial" w:hAnsi="Arial" w:cs="Arial"/>
          <w:b/>
          <w:sz w:val="22"/>
          <w:szCs w:val="22"/>
        </w:rPr>
        <w:t>„V</w:t>
      </w:r>
      <w:r w:rsidRPr="00CF2253">
        <w:rPr>
          <w:rFonts w:ascii="Arial" w:hAnsi="Arial" w:cs="Arial"/>
          <w:b/>
          <w:sz w:val="22"/>
          <w:szCs w:val="22"/>
        </w:rPr>
        <w:t>ýzvu</w:t>
      </w:r>
      <w:r w:rsidR="00DD5B52" w:rsidRPr="00CF2253">
        <w:rPr>
          <w:rFonts w:ascii="Arial" w:hAnsi="Arial" w:cs="Arial"/>
          <w:b/>
          <w:sz w:val="22"/>
          <w:szCs w:val="22"/>
        </w:rPr>
        <w:t>“</w:t>
      </w:r>
      <w:r w:rsidRPr="00CF2253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CF2253">
        <w:rPr>
          <w:rFonts w:ascii="Arial" w:hAnsi="Arial" w:cs="Arial"/>
          <w:b/>
          <w:sz w:val="22"/>
          <w:szCs w:val="22"/>
        </w:rPr>
        <w:t xml:space="preserve"> </w:t>
      </w:r>
      <w:r w:rsidR="00DD5B52" w:rsidRPr="00CF2253">
        <w:rPr>
          <w:rFonts w:ascii="Arial" w:hAnsi="Arial" w:cs="Arial"/>
          <w:b/>
          <w:sz w:val="22"/>
          <w:szCs w:val="22"/>
        </w:rPr>
        <w:t>„O</w:t>
      </w:r>
      <w:r w:rsidRPr="00CF2253">
        <w:rPr>
          <w:rFonts w:ascii="Arial" w:hAnsi="Arial" w:cs="Arial"/>
          <w:b/>
          <w:sz w:val="22"/>
          <w:szCs w:val="22"/>
        </w:rPr>
        <w:t>bjednávka</w:t>
      </w:r>
      <w:r w:rsidR="00DD5B52" w:rsidRPr="00CF2253">
        <w:rPr>
          <w:rFonts w:ascii="Arial" w:hAnsi="Arial" w:cs="Arial"/>
          <w:b/>
          <w:sz w:val="22"/>
          <w:szCs w:val="22"/>
        </w:rPr>
        <w:t>“</w:t>
      </w:r>
      <w:r w:rsidR="00D94C73" w:rsidRPr="00CF2253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F2253">
        <w:rPr>
          <w:rFonts w:ascii="Arial" w:hAnsi="Arial" w:cs="Arial"/>
          <w:sz w:val="22"/>
          <w:szCs w:val="22"/>
        </w:rPr>
        <w:t>V</w:t>
      </w:r>
      <w:r w:rsidR="005D17D2" w:rsidRPr="00CF2253">
        <w:rPr>
          <w:rFonts w:ascii="Arial" w:hAnsi="Arial" w:cs="Arial"/>
          <w:sz w:val="22"/>
          <w:szCs w:val="22"/>
        </w:rPr>
        <w:t xml:space="preserve">zor </w:t>
      </w:r>
      <w:r w:rsidR="00FC13AB" w:rsidRPr="00CF2253">
        <w:rPr>
          <w:rFonts w:ascii="Arial" w:hAnsi="Arial" w:cs="Arial"/>
          <w:sz w:val="22"/>
          <w:szCs w:val="22"/>
        </w:rPr>
        <w:t xml:space="preserve">Objednávky </w:t>
      </w:r>
      <w:r w:rsidR="005D17D2" w:rsidRPr="00CF2253">
        <w:rPr>
          <w:rFonts w:ascii="Arial" w:hAnsi="Arial" w:cs="Arial"/>
          <w:sz w:val="22"/>
          <w:szCs w:val="22"/>
        </w:rPr>
        <w:t>je v příloze č. 3</w:t>
      </w:r>
      <w:r w:rsidRPr="00CF2253">
        <w:rPr>
          <w:rFonts w:ascii="Arial" w:hAnsi="Arial" w:cs="Arial"/>
          <w:sz w:val="22"/>
          <w:szCs w:val="22"/>
        </w:rPr>
        <w:t xml:space="preserve"> této </w:t>
      </w:r>
      <w:r w:rsidR="00A74E97" w:rsidRPr="00CF2253">
        <w:rPr>
          <w:rFonts w:ascii="Arial" w:hAnsi="Arial" w:cs="Arial"/>
          <w:sz w:val="22"/>
          <w:szCs w:val="22"/>
        </w:rPr>
        <w:t>Dohody</w:t>
      </w:r>
      <w:r w:rsidR="009F2858" w:rsidRPr="00CF2253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1205FA63" w:rsidR="00D94C73" w:rsidRPr="00EA6251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</w:t>
      </w:r>
      <w:r w:rsidR="00D94C73" w:rsidRPr="00EA6251">
        <w:rPr>
          <w:rFonts w:ascii="Arial" w:hAnsi="Arial" w:cs="Arial"/>
          <w:sz w:val="22"/>
          <w:szCs w:val="22"/>
        </w:rPr>
        <w:t xml:space="preserve">je neomezený, celková cena plnění vůči všem zhotovitelům </w:t>
      </w:r>
      <w:r w:rsidR="00FF7A2C" w:rsidRPr="00EA6251">
        <w:rPr>
          <w:rFonts w:ascii="Arial" w:hAnsi="Arial" w:cs="Arial"/>
          <w:sz w:val="22"/>
          <w:szCs w:val="22"/>
        </w:rPr>
        <w:t>souhrnně</w:t>
      </w:r>
      <w:r w:rsidR="00D94C73" w:rsidRPr="00EA6251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EA6251">
        <w:rPr>
          <w:rFonts w:ascii="Arial" w:hAnsi="Arial" w:cs="Arial"/>
          <w:b/>
          <w:sz w:val="22"/>
          <w:szCs w:val="22"/>
        </w:rPr>
        <w:t xml:space="preserve"> částku</w:t>
      </w:r>
      <w:r w:rsidR="009F2858" w:rsidRPr="00EA6251">
        <w:rPr>
          <w:rFonts w:ascii="Arial" w:hAnsi="Arial" w:cs="Arial"/>
          <w:b/>
          <w:sz w:val="22"/>
          <w:szCs w:val="22"/>
        </w:rPr>
        <w:t xml:space="preserve"> </w:t>
      </w:r>
      <w:r w:rsidR="00D23AFC" w:rsidRPr="00EA6251">
        <w:rPr>
          <w:rFonts w:ascii="Arial" w:hAnsi="Arial" w:cs="Arial"/>
          <w:b/>
          <w:sz w:val="22"/>
          <w:szCs w:val="22"/>
        </w:rPr>
        <w:t>159</w:t>
      </w:r>
      <w:r w:rsidR="00843177" w:rsidRPr="00EA6251">
        <w:rPr>
          <w:rFonts w:ascii="Arial" w:hAnsi="Arial" w:cs="Arial"/>
          <w:b/>
          <w:sz w:val="22"/>
          <w:szCs w:val="22"/>
        </w:rPr>
        <w:t> </w:t>
      </w:r>
      <w:r w:rsidR="00D23AFC" w:rsidRPr="00EA6251">
        <w:rPr>
          <w:rFonts w:ascii="Arial" w:hAnsi="Arial" w:cs="Arial"/>
          <w:b/>
          <w:sz w:val="22"/>
          <w:szCs w:val="22"/>
        </w:rPr>
        <w:t>000</w:t>
      </w:r>
      <w:r w:rsidR="00843177" w:rsidRPr="00EA6251">
        <w:rPr>
          <w:rFonts w:ascii="Arial" w:hAnsi="Arial" w:cs="Arial"/>
          <w:b/>
          <w:sz w:val="22"/>
          <w:szCs w:val="22"/>
        </w:rPr>
        <w:t>,00</w:t>
      </w:r>
      <w:r w:rsidR="00D94C73" w:rsidRPr="00EA6251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EA6251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EA6251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3D2AE606" w:rsidR="00D94C73" w:rsidRPr="00EA6251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EA6251">
        <w:rPr>
          <w:rFonts w:ascii="Arial" w:hAnsi="Arial" w:cs="Arial"/>
          <w:sz w:val="22"/>
          <w:szCs w:val="22"/>
        </w:rPr>
        <w:t xml:space="preserve"> </w:t>
      </w:r>
      <w:r w:rsidR="00A74E97" w:rsidRPr="00EA6251">
        <w:rPr>
          <w:rFonts w:ascii="Arial" w:hAnsi="Arial" w:cs="Arial"/>
          <w:sz w:val="22"/>
          <w:szCs w:val="22"/>
        </w:rPr>
        <w:t>Dohod</w:t>
      </w:r>
      <w:r w:rsidR="6E617C8A" w:rsidRPr="00EA6251">
        <w:rPr>
          <w:rFonts w:ascii="Arial" w:hAnsi="Arial" w:cs="Arial"/>
          <w:sz w:val="22"/>
          <w:szCs w:val="22"/>
        </w:rPr>
        <w:t>a</w:t>
      </w:r>
      <w:r w:rsidRPr="00EA6251">
        <w:rPr>
          <w:rFonts w:ascii="Arial" w:hAnsi="Arial" w:cs="Arial"/>
          <w:sz w:val="22"/>
          <w:szCs w:val="22"/>
        </w:rPr>
        <w:t xml:space="preserve"> </w:t>
      </w:r>
      <w:r w:rsidR="00D94C73" w:rsidRPr="00EA6251">
        <w:rPr>
          <w:rFonts w:ascii="Arial" w:hAnsi="Arial" w:cs="Arial"/>
          <w:sz w:val="22"/>
          <w:szCs w:val="22"/>
        </w:rPr>
        <w:t>je uzavřena na dobu určitou</w:t>
      </w:r>
      <w:r w:rsidR="00843177" w:rsidRPr="00EA6251">
        <w:rPr>
          <w:rFonts w:ascii="Arial" w:hAnsi="Arial" w:cs="Arial"/>
          <w:sz w:val="22"/>
          <w:szCs w:val="22"/>
        </w:rPr>
        <w:t>,</w:t>
      </w:r>
      <w:r w:rsidR="00D94C73" w:rsidRPr="00EA6251">
        <w:rPr>
          <w:rFonts w:ascii="Arial" w:hAnsi="Arial" w:cs="Arial"/>
          <w:sz w:val="22"/>
          <w:szCs w:val="22"/>
        </w:rPr>
        <w:t xml:space="preserve"> a to od podpisu </w:t>
      </w:r>
      <w:r w:rsidR="00A74E97" w:rsidRPr="00EA6251">
        <w:rPr>
          <w:rFonts w:ascii="Arial" w:hAnsi="Arial" w:cs="Arial"/>
          <w:sz w:val="22"/>
          <w:szCs w:val="22"/>
        </w:rPr>
        <w:t>Dohody</w:t>
      </w:r>
      <w:r w:rsidR="00D94C73" w:rsidRPr="00EA6251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</w:t>
      </w:r>
      <w:r w:rsidR="00D94C73" w:rsidRPr="00EA6251">
        <w:rPr>
          <w:rFonts w:ascii="Arial" w:hAnsi="Arial" w:cs="Arial"/>
          <w:b/>
          <w:bCs/>
          <w:sz w:val="22"/>
          <w:szCs w:val="22"/>
        </w:rPr>
        <w:t>do</w:t>
      </w:r>
      <w:r w:rsidR="009F2858" w:rsidRPr="00EA6251">
        <w:rPr>
          <w:rFonts w:ascii="Arial" w:hAnsi="Arial" w:cs="Arial"/>
          <w:b/>
          <w:bCs/>
          <w:sz w:val="22"/>
          <w:szCs w:val="22"/>
        </w:rPr>
        <w:t xml:space="preserve"> </w:t>
      </w:r>
      <w:r w:rsidR="00843177" w:rsidRPr="00EA6251">
        <w:rPr>
          <w:rFonts w:ascii="Arial" w:hAnsi="Arial" w:cs="Arial"/>
          <w:b/>
          <w:bCs/>
          <w:sz w:val="22"/>
          <w:szCs w:val="22"/>
        </w:rPr>
        <w:t>31.10.2024.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73FA4EEB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35A07AB3" w:rsidR="00AF14FC" w:rsidRDefault="00AF14FC" w:rsidP="00936B1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68900323" w14:textId="77777777" w:rsidR="008063B4" w:rsidRPr="008063B4" w:rsidRDefault="008063B4" w:rsidP="00936B1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2417CB74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 xml:space="preserve">, </w:t>
      </w:r>
      <w:r w:rsidR="00357FAD">
        <w:rPr>
          <w:rFonts w:ascii="Arial" w:hAnsi="Arial" w:cs="Arial"/>
          <w:b/>
        </w:rPr>
        <w:br/>
      </w:r>
      <w:r w:rsidRPr="002C102B">
        <w:rPr>
          <w:rFonts w:ascii="Arial" w:hAnsi="Arial" w:cs="Arial"/>
          <w:b/>
        </w:rPr>
        <w:t>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28850D17" w:rsidR="00D94C73" w:rsidRPr="00A61FD0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61FD0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A61FD0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A61FD0">
        <w:rPr>
          <w:rFonts w:ascii="Arial" w:hAnsi="Arial" w:cs="Arial"/>
          <w:snapToGrid w:val="0"/>
          <w:sz w:val="22"/>
          <w:szCs w:val="22"/>
        </w:rPr>
        <w:t>o</w:t>
      </w:r>
      <w:r w:rsidR="00502E01" w:rsidRPr="00A61FD0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A61FD0">
        <w:rPr>
          <w:rFonts w:ascii="Arial" w:hAnsi="Arial" w:cs="Arial"/>
          <w:snapToGrid w:val="0"/>
          <w:sz w:val="22"/>
          <w:szCs w:val="22"/>
        </w:rPr>
        <w:t>o</w:t>
      </w:r>
      <w:r w:rsidR="00502E01" w:rsidRPr="00A61FD0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A61FD0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A61FD0">
        <w:rPr>
          <w:rFonts w:ascii="Arial" w:hAnsi="Arial" w:cs="Arial"/>
          <w:snapToGrid w:val="0"/>
          <w:sz w:val="22"/>
          <w:szCs w:val="22"/>
        </w:rPr>
        <w:t>a</w:t>
      </w:r>
      <w:r w:rsidR="00D94C73" w:rsidRPr="00A61FD0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A61FD0">
        <w:rPr>
          <w:rFonts w:ascii="Arial" w:hAnsi="Arial" w:cs="Arial"/>
          <w:snapToGrid w:val="0"/>
          <w:sz w:val="22"/>
          <w:szCs w:val="22"/>
        </w:rPr>
        <w:t xml:space="preserve"> </w:t>
      </w:r>
      <w:r w:rsidR="008063B4" w:rsidRPr="00A61FD0">
        <w:rPr>
          <w:rFonts w:ascii="Arial" w:hAnsi="Arial" w:cs="Arial"/>
          <w:snapToGrid w:val="0"/>
          <w:sz w:val="22"/>
          <w:szCs w:val="22"/>
        </w:rPr>
        <w:t>Královéhradecký kraj</w:t>
      </w:r>
      <w:r w:rsidR="00A61FD0" w:rsidRPr="00A61FD0">
        <w:rPr>
          <w:rFonts w:ascii="Arial" w:hAnsi="Arial" w:cs="Arial"/>
          <w:snapToGrid w:val="0"/>
          <w:sz w:val="22"/>
          <w:szCs w:val="22"/>
        </w:rPr>
        <w:t>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1B2C6BE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do </w:t>
      </w:r>
      <w:proofErr w:type="gramStart"/>
      <w:r w:rsidRPr="00936B10">
        <w:rPr>
          <w:rFonts w:ascii="Arial" w:hAnsi="Arial" w:cs="Arial"/>
          <w:sz w:val="22"/>
          <w:szCs w:val="22"/>
        </w:rPr>
        <w:t>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36BF86A1" w:rsidR="00D94C73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6C9C996A" w14:textId="77777777" w:rsidR="00A03FF4" w:rsidRPr="00A03FF4" w:rsidRDefault="00A03FF4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5CA6B588" w:rsidR="00D94C73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028F0A30" w14:textId="77777777" w:rsidR="001776A1" w:rsidRPr="001776A1" w:rsidRDefault="001776A1" w:rsidP="001776A1">
      <w:pPr>
        <w:rPr>
          <w:rFonts w:ascii="Arial" w:hAnsi="Arial" w:cs="Arial"/>
          <w:sz w:val="22"/>
          <w:szCs w:val="22"/>
        </w:rPr>
      </w:pPr>
    </w:p>
    <w:p w14:paraId="4CF0561C" w14:textId="05AF051B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702B6F84" w:rsidR="00D94C73" w:rsidRPr="00B4177E" w:rsidRDefault="00D94C73" w:rsidP="00B4177E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46D8695E" w14:textId="77777777" w:rsidR="00B4177E" w:rsidRPr="00B4177E" w:rsidRDefault="00B4177E" w:rsidP="00B4177E">
      <w:pPr>
        <w:pStyle w:val="Odstavecseseznamem"/>
        <w:rPr>
          <w:rFonts w:ascii="Arial" w:hAnsi="Arial" w:cs="Arial"/>
          <w:bCs/>
          <w:sz w:val="22"/>
          <w:szCs w:val="22"/>
        </w:rPr>
      </w:pPr>
    </w:p>
    <w:p w14:paraId="5BADAC59" w14:textId="552012ED" w:rsidR="00AF760D" w:rsidRPr="00936B10" w:rsidRDefault="00AF760D" w:rsidP="00B4177E">
      <w:pPr>
        <w:pStyle w:val="Odstavecseseznamem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7DA443D9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1CBCD93" w14:textId="77777777" w:rsidR="00B4177E" w:rsidRPr="00936B10" w:rsidRDefault="00B4177E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229A500E" w:rsidR="00D94C73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14FDDFC9" w14:textId="77777777" w:rsidR="00B4177E" w:rsidRPr="00B4177E" w:rsidRDefault="00B4177E" w:rsidP="00B4177E">
      <w:pPr>
        <w:rPr>
          <w:rFonts w:ascii="Arial" w:hAnsi="Arial" w:cs="Arial"/>
          <w:sz w:val="22"/>
          <w:szCs w:val="22"/>
        </w:rPr>
      </w:pP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2663A292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26996172" w:rsidR="002C102B" w:rsidRPr="00983F2C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83F2C">
        <w:rPr>
          <w:rFonts w:ascii="Arial" w:hAnsi="Arial" w:cs="Arial"/>
          <w:sz w:val="22"/>
          <w:szCs w:val="22"/>
        </w:rPr>
        <w:t xml:space="preserve">Splatnost jednotlivých faktur je </w:t>
      </w:r>
      <w:r w:rsidR="00983F2C" w:rsidRPr="00983F2C">
        <w:rPr>
          <w:rFonts w:ascii="Arial" w:hAnsi="Arial" w:cs="Arial"/>
          <w:sz w:val="22"/>
          <w:szCs w:val="22"/>
        </w:rPr>
        <w:t>30</w:t>
      </w:r>
      <w:r w:rsidRPr="00983F2C">
        <w:rPr>
          <w:rFonts w:ascii="Arial" w:hAnsi="Arial" w:cs="Arial"/>
          <w:sz w:val="22"/>
          <w:szCs w:val="22"/>
        </w:rPr>
        <w:t xml:space="preserve">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222D726C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</w:t>
      </w:r>
      <w:r w:rsidR="00834267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05CD03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</w:t>
      </w:r>
      <w:r w:rsidRPr="00936B10">
        <w:rPr>
          <w:rFonts w:ascii="Arial" w:hAnsi="Arial" w:cs="Arial"/>
          <w:sz w:val="22"/>
          <w:szCs w:val="22"/>
        </w:rPr>
        <w:lastRenderedPageBreak/>
        <w:t>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448B65A9" w:rsidR="00BA5A8C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2C7E8BA" w14:textId="77777777" w:rsidR="00834267" w:rsidRPr="00936B10" w:rsidRDefault="00834267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3A37E35D" w:rsidR="00D94C73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0D1A3EAE" w14:textId="77777777" w:rsidR="00834267" w:rsidRPr="00834267" w:rsidRDefault="00834267" w:rsidP="00834267">
      <w:pPr>
        <w:rPr>
          <w:rFonts w:ascii="Arial" w:hAnsi="Arial" w:cs="Arial"/>
          <w:sz w:val="22"/>
          <w:szCs w:val="22"/>
        </w:rPr>
      </w:pP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73BCA030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="00C13963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1A125BA2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C90452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1BAB11F7" w:rsidR="00D94C73" w:rsidRDefault="00D94C73" w:rsidP="00936B10">
      <w:pPr>
        <w:ind w:hanging="567"/>
        <w:rPr>
          <w:rFonts w:ascii="Arial" w:hAnsi="Arial" w:cs="Arial"/>
          <w:snapToGrid w:val="0"/>
          <w:sz w:val="22"/>
          <w:szCs w:val="22"/>
        </w:rPr>
      </w:pPr>
    </w:p>
    <w:p w14:paraId="0CDD03C1" w14:textId="77777777" w:rsidR="004E5AF1" w:rsidRPr="004E5AF1" w:rsidRDefault="004E5AF1" w:rsidP="00936B10">
      <w:pPr>
        <w:ind w:hanging="567"/>
        <w:rPr>
          <w:rFonts w:ascii="Arial" w:hAnsi="Arial" w:cs="Arial"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2B16AB44" w:rsidR="00D94C73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FB50727" w14:textId="77777777" w:rsidR="003427A5" w:rsidRPr="003427A5" w:rsidRDefault="003427A5" w:rsidP="002C102B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1E36B70B" w14:textId="22800A5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</w:p>
    <w:bookmarkEnd w:id="2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lastRenderedPageBreak/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72CE65F8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936B10">
        <w:rPr>
          <w:rFonts w:ascii="Arial" w:hAnsi="Arial" w:cs="Arial"/>
          <w:sz w:val="22"/>
          <w:szCs w:val="22"/>
        </w:rPr>
        <w:t>a</w:t>
      </w:r>
      <w:r w:rsidR="004F271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6D9AA480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Účinnost této </w:t>
      </w:r>
      <w:r w:rsidR="004F2716">
        <w:rPr>
          <w:rFonts w:ascii="Arial" w:hAnsi="Arial" w:cs="Arial"/>
          <w:sz w:val="22"/>
          <w:szCs w:val="22"/>
        </w:rPr>
        <w:t>Dohody</w:t>
      </w:r>
      <w:r w:rsidR="004F2716" w:rsidRPr="00936B10">
        <w:rPr>
          <w:rFonts w:ascii="Arial" w:hAnsi="Arial" w:cs="Arial"/>
          <w:sz w:val="22"/>
          <w:szCs w:val="22"/>
        </w:rPr>
        <w:t xml:space="preserve"> </w:t>
      </w:r>
      <w:r w:rsidR="004F2716" w:rsidRPr="00B801BE">
        <w:rPr>
          <w:rFonts w:ascii="Arial" w:hAnsi="Arial" w:cs="Arial"/>
          <w:sz w:val="22"/>
          <w:szCs w:val="22"/>
          <w:u w:val="single"/>
        </w:rPr>
        <w:t>lze ukončit</w:t>
      </w:r>
      <w:r w:rsidRPr="00936B10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936B10">
        <w:rPr>
          <w:rFonts w:ascii="Arial" w:hAnsi="Arial" w:cs="Arial"/>
          <w:sz w:val="22"/>
          <w:szCs w:val="22"/>
        </w:rPr>
        <w:t>menší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jak </w:t>
      </w:r>
      <w:r w:rsidR="007509FF">
        <w:rPr>
          <w:rFonts w:ascii="Arial" w:hAnsi="Arial" w:cs="Arial"/>
          <w:sz w:val="22"/>
          <w:szCs w:val="22"/>
        </w:rPr>
        <w:t>3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9AAAC5A" w14:textId="0918A66F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1B5987E" w14:textId="77777777" w:rsidR="00B801BE" w:rsidRDefault="00B801BE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EA7CBAA" w:rsidR="006A08F1" w:rsidRDefault="006A08F1" w:rsidP="00B801BE">
      <w:pPr>
        <w:pStyle w:val="11"/>
        <w:tabs>
          <w:tab w:val="left" w:pos="284"/>
        </w:tabs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063D28AB" w14:textId="77777777" w:rsidR="00B801BE" w:rsidRPr="00B801BE" w:rsidRDefault="00B801BE" w:rsidP="00B801BE">
      <w:pPr>
        <w:pStyle w:val="11"/>
        <w:tabs>
          <w:tab w:val="left" w:pos="284"/>
        </w:tabs>
        <w:spacing w:before="0"/>
        <w:jc w:val="center"/>
        <w:rPr>
          <w:rFonts w:ascii="Arial" w:hAnsi="Arial" w:cs="Arial"/>
          <w:bCs/>
          <w:sz w:val="22"/>
          <w:szCs w:val="22"/>
        </w:rPr>
      </w:pPr>
    </w:p>
    <w:p w14:paraId="25C372A0" w14:textId="7BD8E331" w:rsidR="006A08F1" w:rsidRPr="008845AF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734DD334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0BAC5CBE" w14:textId="6826094F" w:rsidR="00B801BE" w:rsidRDefault="00B801BE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7ADD84EB" w14:textId="6EE7C8AA" w:rsidR="00D3475C" w:rsidRDefault="00D3475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4D0A10F3" w14:textId="77777777" w:rsidR="00A03FF4" w:rsidRDefault="00A03FF4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23E0A4C1" w14:textId="77777777" w:rsidR="00D3475C" w:rsidRDefault="00D3475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Čl. X.</w:t>
      </w:r>
    </w:p>
    <w:p w14:paraId="77CA0330" w14:textId="6E6E9965" w:rsidR="006A08F1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23FFB69F" w14:textId="77777777" w:rsidR="00B801BE" w:rsidRPr="00B801BE" w:rsidRDefault="00B801BE" w:rsidP="006A08F1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38ABCF53" w14:textId="47E17040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18813EE4" w:rsidR="006A08F1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31565DC9" w14:textId="77777777" w:rsidR="007A44C6" w:rsidRPr="007A44C6" w:rsidRDefault="007A44C6" w:rsidP="006A08F1">
      <w:pPr>
        <w:jc w:val="center"/>
        <w:rPr>
          <w:rFonts w:ascii="Arial" w:hAnsi="Arial" w:cs="Arial"/>
          <w:bCs/>
          <w:sz w:val="22"/>
          <w:szCs w:val="22"/>
        </w:rPr>
      </w:pPr>
    </w:p>
    <w:p w14:paraId="20EDE81D" w14:textId="02D8065E" w:rsidR="006A08F1" w:rsidRPr="001A7C2C" w:rsidRDefault="006A08F1" w:rsidP="0048256C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5958C142" w:rsidR="00BA5A8C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CFAE7A1" w14:textId="77777777" w:rsidR="007A44C6" w:rsidRPr="00936B10" w:rsidRDefault="007A44C6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0094DF7D" w:rsidR="00D94C73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6A4E6346" w14:textId="77777777" w:rsidR="007A44C6" w:rsidRPr="007A44C6" w:rsidRDefault="007A44C6" w:rsidP="005751DD">
      <w:pPr>
        <w:tabs>
          <w:tab w:val="num" w:pos="284"/>
        </w:tabs>
        <w:jc w:val="center"/>
        <w:rPr>
          <w:rFonts w:ascii="Arial" w:hAnsi="Arial" w:cs="Arial"/>
          <w:bCs/>
          <w:sz w:val="22"/>
          <w:szCs w:val="22"/>
        </w:rPr>
      </w:pPr>
    </w:p>
    <w:p w14:paraId="45F87C10" w14:textId="58D84B29" w:rsidR="00D94C73" w:rsidRPr="0048256C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48256C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7A44C6" w:rsidRDefault="00D94C73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335E81B5" w:rsidR="00D94C73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BA2DA57" w14:textId="77777777" w:rsidR="007A44C6" w:rsidRPr="007A44C6" w:rsidRDefault="007A44C6" w:rsidP="007A44C6">
      <w:pPr>
        <w:rPr>
          <w:rFonts w:ascii="Arial" w:hAnsi="Arial" w:cs="Arial"/>
          <w:sz w:val="22"/>
          <w:szCs w:val="22"/>
        </w:rPr>
      </w:pP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E66F97D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="007A44C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ve</w:t>
      </w:r>
      <w:r w:rsidR="007A44C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7CC84273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zákona č. 499/2004 Sb. o archivnictví a spisové službě a o změně některých zákonů, ve znění pozdějších předpisů.</w:t>
      </w:r>
    </w:p>
    <w:p w14:paraId="74B64E9B" w14:textId="7254A14C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  <w:sz w:val="22"/>
          <w:szCs w:val="22"/>
        </w:rPr>
      </w:pPr>
    </w:p>
    <w:p w14:paraId="33BCD2BA" w14:textId="77777777" w:rsidR="007A44C6" w:rsidRPr="007A44C6" w:rsidRDefault="007A44C6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  <w:sz w:val="22"/>
          <w:szCs w:val="22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6DECF59F" w:rsidR="00D94C73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3697BC9D" w14:textId="77777777" w:rsidR="007A44C6" w:rsidRPr="007A44C6" w:rsidRDefault="007A44C6" w:rsidP="007A44C6">
      <w:pPr>
        <w:rPr>
          <w:rFonts w:ascii="Arial" w:hAnsi="Arial" w:cs="Arial"/>
          <w:sz w:val="22"/>
          <w:szCs w:val="22"/>
        </w:rPr>
      </w:pPr>
    </w:p>
    <w:p w14:paraId="57D056EA" w14:textId="5F2F2A9A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  <w:r w:rsidR="007A44C6">
        <w:rPr>
          <w:rFonts w:ascii="Arial" w:hAnsi="Arial" w:cs="Arial"/>
          <w:sz w:val="22"/>
          <w:szCs w:val="22"/>
        </w:rPr>
        <w:t>.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4876E668" w:rsidR="00317D69" w:rsidRPr="00983F2C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</w:t>
      </w:r>
      <w:r w:rsidR="00317D69" w:rsidRPr="00983F2C">
        <w:rPr>
          <w:rFonts w:ascii="Arial" w:hAnsi="Arial" w:cs="Arial"/>
          <w:sz w:val="22"/>
          <w:szCs w:val="22"/>
        </w:rPr>
        <w:t xml:space="preserve">to </w:t>
      </w:r>
      <w:r w:rsidR="00317D69" w:rsidRPr="00983F2C">
        <w:rPr>
          <w:rFonts w:ascii="Arial" w:hAnsi="Arial" w:cs="Arial"/>
          <w:b/>
          <w:bCs/>
          <w:sz w:val="22"/>
          <w:szCs w:val="22"/>
        </w:rPr>
        <w:t xml:space="preserve">do </w:t>
      </w:r>
      <w:r w:rsidR="00775892" w:rsidRPr="00983F2C">
        <w:rPr>
          <w:rFonts w:ascii="Arial" w:hAnsi="Arial" w:cs="Arial"/>
          <w:b/>
          <w:bCs/>
          <w:sz w:val="22"/>
          <w:szCs w:val="22"/>
        </w:rPr>
        <w:t>31.10.2024</w:t>
      </w:r>
      <w:r w:rsidR="00317D69" w:rsidRPr="00983F2C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5E30FD" w:rsidRPr="00983F2C">
        <w:rPr>
          <w:rFonts w:ascii="Arial" w:hAnsi="Arial" w:cs="Arial"/>
          <w:sz w:val="22"/>
          <w:szCs w:val="22"/>
        </w:rPr>
        <w:t>159 000,00</w:t>
      </w:r>
      <w:r w:rsidR="00317D69" w:rsidRPr="00983F2C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9A01A69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DD19F50" w14:textId="32CF84D1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E272396" w14:textId="16392966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9F5EFD8" w14:textId="5AFEF760" w:rsidR="00A03FF4" w:rsidRDefault="00A03FF4" w:rsidP="00936B10">
      <w:pPr>
        <w:rPr>
          <w:rFonts w:ascii="Arial" w:hAnsi="Arial" w:cs="Arial"/>
          <w:snapToGrid w:val="0"/>
          <w:sz w:val="22"/>
          <w:szCs w:val="22"/>
        </w:rPr>
      </w:pPr>
    </w:p>
    <w:p w14:paraId="026509C7" w14:textId="7934B9FB" w:rsidR="00A03FF4" w:rsidRDefault="00A03FF4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CFD635" w14:textId="1E59A21F" w:rsidR="00A03FF4" w:rsidRDefault="00A03FF4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FAD4445" w14:textId="77777777" w:rsidR="00A03FF4" w:rsidRDefault="00A03FF4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1EF0C3" w14:textId="77777777" w:rsidR="00491356" w:rsidRPr="00936B10" w:rsidRDefault="00491356" w:rsidP="00491356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47073D82" w14:textId="77777777" w:rsidR="00491356" w:rsidRPr="00936B10" w:rsidRDefault="00491356" w:rsidP="00491356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>
        <w:rPr>
          <w:rFonts w:ascii="Arial" w:hAnsi="Arial" w:cs="Arial"/>
          <w:snapToGrid w:val="0"/>
          <w:sz w:val="22"/>
          <w:szCs w:val="22"/>
        </w:rPr>
        <w:t> Hradci Králové</w:t>
      </w:r>
      <w:r w:rsidRPr="00936B10">
        <w:rPr>
          <w:rFonts w:ascii="Arial" w:hAnsi="Arial" w:cs="Arial"/>
          <w:snapToGrid w:val="0"/>
          <w:sz w:val="22"/>
          <w:szCs w:val="22"/>
        </w:rPr>
        <w:t>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BCF87CE" w14:textId="3110CA06" w:rsidR="00491356" w:rsidRDefault="00491356" w:rsidP="00491356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6C230372" w14:textId="77777777" w:rsidR="0089761B" w:rsidRDefault="0089761B" w:rsidP="00491356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6399D309" w14:textId="77777777" w:rsidR="00491356" w:rsidRPr="00936B10" w:rsidRDefault="00491356" w:rsidP="00491356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F41DB03" w14:textId="77777777" w:rsidR="00491356" w:rsidRPr="00936B10" w:rsidRDefault="00491356" w:rsidP="00491356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3C7BB44B" w14:textId="77777777" w:rsidR="00491356" w:rsidRPr="00936B10" w:rsidRDefault="00491356" w:rsidP="00491356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Petr Lázňovský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  <w:r w:rsidRPr="005D1DDC">
        <w:rPr>
          <w:rFonts w:ascii="Arial" w:hAnsi="Arial" w:cs="Arial"/>
          <w:snapToGrid w:val="0"/>
          <w:sz w:val="22"/>
          <w:szCs w:val="22"/>
          <w:highlight w:val="yellow"/>
        </w:rPr>
        <w:t>zhotovitel č. 1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70C06F8B" w14:textId="77777777" w:rsidR="00491356" w:rsidRDefault="00491356" w:rsidP="00491356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Pr="00936B10">
        <w:rPr>
          <w:rFonts w:ascii="Arial" w:hAnsi="Arial" w:cs="Arial"/>
          <w:snapToGrid w:val="0"/>
          <w:sz w:val="22"/>
          <w:szCs w:val="22"/>
        </w:rPr>
        <w:t>editel Krajského pozemkového</w:t>
      </w:r>
      <w:r>
        <w:rPr>
          <w:rFonts w:ascii="Arial" w:hAnsi="Arial" w:cs="Arial"/>
          <w:snapToGrid w:val="0"/>
          <w:sz w:val="22"/>
          <w:szCs w:val="22"/>
        </w:rPr>
        <w:tab/>
      </w:r>
    </w:p>
    <w:p w14:paraId="21842095" w14:textId="77777777" w:rsidR="00491356" w:rsidRDefault="00491356" w:rsidP="00491356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>
        <w:rPr>
          <w:rFonts w:ascii="Arial" w:hAnsi="Arial" w:cs="Arial"/>
          <w:snapToGrid w:val="0"/>
          <w:sz w:val="22"/>
          <w:szCs w:val="22"/>
        </w:rPr>
        <w:t>Královéhradecký kraj</w:t>
      </w:r>
    </w:p>
    <w:p w14:paraId="64E2BBFC" w14:textId="77777777" w:rsidR="00491356" w:rsidRPr="00936B10" w:rsidRDefault="00491356" w:rsidP="00491356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Státní pozemkový úřad</w:t>
      </w:r>
    </w:p>
    <w:p w14:paraId="695293CD" w14:textId="77777777" w:rsidR="00491356" w:rsidRDefault="00491356" w:rsidP="00491356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FFD16D6" w14:textId="16482042" w:rsidR="00491356" w:rsidRDefault="00491356" w:rsidP="00491356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80A308F" w14:textId="69F5BAB5" w:rsidR="0089761B" w:rsidRDefault="0089761B" w:rsidP="00491356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308AD04" w14:textId="77777777" w:rsidR="0089761B" w:rsidRDefault="0089761B" w:rsidP="00491356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4B61D0C8" w14:textId="77777777" w:rsidR="00491356" w:rsidRDefault="00491356" w:rsidP="00491356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0293559D" w14:textId="77777777" w:rsidR="00491356" w:rsidRDefault="00491356" w:rsidP="00491356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2: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69480A0D" w14:textId="77777777" w:rsidR="00491356" w:rsidRPr="00936B10" w:rsidRDefault="00491356" w:rsidP="00491356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dne……………… 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V……………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</w:t>
      </w:r>
    </w:p>
    <w:p w14:paraId="0BB68067" w14:textId="4EE21E36" w:rsidR="00491356" w:rsidRDefault="00491356" w:rsidP="00491356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53ADDA74" w14:textId="77777777" w:rsidR="0089761B" w:rsidRDefault="0089761B" w:rsidP="00491356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73689434" w14:textId="77777777" w:rsidR="00491356" w:rsidRPr="00936B10" w:rsidRDefault="00491356" w:rsidP="00491356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0E0A9637" w14:textId="77777777" w:rsidR="00491356" w:rsidRPr="00936B10" w:rsidRDefault="00491356" w:rsidP="00491356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………………………………….</w:t>
      </w:r>
    </w:p>
    <w:p w14:paraId="47317141" w14:textId="77777777" w:rsidR="00491356" w:rsidRPr="00936B10" w:rsidRDefault="00491356" w:rsidP="00491356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C670DE">
        <w:rPr>
          <w:rFonts w:ascii="Arial" w:hAnsi="Arial" w:cs="Arial"/>
          <w:snapToGrid w:val="0"/>
          <w:sz w:val="22"/>
          <w:szCs w:val="22"/>
          <w:highlight w:val="yellow"/>
        </w:rPr>
        <w:t>zhotovitel č. 2</w:t>
      </w:r>
      <w:r w:rsidRPr="00C670DE">
        <w:rPr>
          <w:rFonts w:ascii="Arial" w:hAnsi="Arial" w:cs="Arial"/>
          <w:snapToGrid w:val="0"/>
          <w:sz w:val="22"/>
          <w:szCs w:val="22"/>
          <w:highlight w:val="yellow"/>
        </w:rPr>
        <w:tab/>
        <w:t>zhotovitel č. 3</w:t>
      </w:r>
    </w:p>
    <w:p w14:paraId="4ED2AA12" w14:textId="77777777" w:rsidR="00491356" w:rsidRDefault="00491356" w:rsidP="00491356">
      <w:pPr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B6FE3FB" w14:textId="77777777" w:rsidR="0048256C" w:rsidRDefault="0048256C" w:rsidP="00936B10">
      <w:pPr>
        <w:rPr>
          <w:rFonts w:ascii="Arial" w:hAnsi="Arial" w:cs="Arial"/>
          <w:sz w:val="22"/>
          <w:szCs w:val="22"/>
        </w:rPr>
      </w:pPr>
    </w:p>
    <w:p w14:paraId="032AEDE2" w14:textId="03BA4183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03EBD39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3BA75" w14:textId="77777777" w:rsidR="006766F3" w:rsidRDefault="006766F3" w:rsidP="001F4C47">
      <w:r>
        <w:separator/>
      </w:r>
    </w:p>
  </w:endnote>
  <w:endnote w:type="continuationSeparator" w:id="0">
    <w:p w14:paraId="601EE5F4" w14:textId="77777777" w:rsidR="006766F3" w:rsidRDefault="006766F3" w:rsidP="001F4C47">
      <w:r>
        <w:continuationSeparator/>
      </w:r>
    </w:p>
  </w:endnote>
  <w:endnote w:type="continuationNotice" w:id="1">
    <w:p w14:paraId="77FB82FE" w14:textId="77777777" w:rsidR="006766F3" w:rsidRDefault="006766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A2127" w14:textId="77777777" w:rsidR="006766F3" w:rsidRDefault="006766F3" w:rsidP="001F4C47">
      <w:r>
        <w:separator/>
      </w:r>
    </w:p>
  </w:footnote>
  <w:footnote w:type="continuationSeparator" w:id="0">
    <w:p w14:paraId="24BBCB52" w14:textId="77777777" w:rsidR="006766F3" w:rsidRDefault="006766F3" w:rsidP="001F4C47">
      <w:r>
        <w:continuationSeparator/>
      </w:r>
    </w:p>
  </w:footnote>
  <w:footnote w:type="continuationNotice" w:id="1">
    <w:p w14:paraId="1F70F02C" w14:textId="77777777" w:rsidR="006766F3" w:rsidRDefault="006766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B59" w14:textId="3C1D7D49" w:rsidR="008079B0" w:rsidRPr="008079B0" w:rsidRDefault="00C274D4" w:rsidP="00566B4D">
    <w:pPr>
      <w:pStyle w:val="Zhlav"/>
      <w:rPr>
        <w:rFonts w:ascii="Arial" w:hAnsi="Arial" w:cs="Arial"/>
        <w:sz w:val="22"/>
        <w:szCs w:val="22"/>
      </w:rPr>
    </w:pPr>
    <w:r w:rsidRPr="00CE7DA4">
      <w:rPr>
        <w:rFonts w:ascii="Arial" w:hAnsi="Arial" w:cs="Arial"/>
        <w:sz w:val="20"/>
        <w:szCs w:val="20"/>
        <w:highlight w:val="green"/>
      </w:rPr>
      <w:t>Ocenění staveb, stavebních pozemků a věcných břemen v Královéhradeckém kraji</w:t>
    </w:r>
    <w:r w:rsidR="00566B4D">
      <w:rPr>
        <w:rFonts w:ascii="Arial" w:hAnsi="Arial" w:cs="Arial"/>
        <w:sz w:val="22"/>
        <w:szCs w:val="22"/>
      </w:rPr>
      <w:tab/>
    </w:r>
    <w:r w:rsidR="008079B0" w:rsidRPr="008079B0">
      <w:rPr>
        <w:rFonts w:ascii="Arial" w:hAnsi="Arial" w:cs="Arial"/>
        <w:sz w:val="22"/>
        <w:szCs w:val="22"/>
      </w:rPr>
      <w:t>(</w:t>
    </w:r>
    <w:r w:rsidR="00626C73">
      <w:rPr>
        <w:rFonts w:ascii="Arial" w:hAnsi="Arial" w:cs="Arial"/>
        <w:sz w:val="22"/>
        <w:szCs w:val="22"/>
      </w:rPr>
      <w:t>2</w:t>
    </w:r>
    <w:r w:rsidR="008079B0" w:rsidRPr="008079B0">
      <w:rPr>
        <w:rFonts w:ascii="Arial" w:hAnsi="Arial" w:cs="Arial"/>
        <w:sz w:val="22"/>
        <w:szCs w:val="22"/>
      </w:rPr>
      <w:t>.</w:t>
    </w:r>
    <w:r w:rsidR="006F464A">
      <w:rPr>
        <w:rFonts w:ascii="Arial" w:hAnsi="Arial" w:cs="Arial"/>
        <w:sz w:val="22"/>
        <w:szCs w:val="22"/>
      </w:rPr>
      <w:t xml:space="preserve"> </w:t>
    </w:r>
    <w:r w:rsidR="008079B0" w:rsidRPr="008079B0">
      <w:rPr>
        <w:rFonts w:ascii="Arial" w:hAnsi="Arial" w:cs="Arial"/>
        <w:sz w:val="22"/>
        <w:szCs w:val="22"/>
      </w:rPr>
      <w:t>1.</w:t>
    </w:r>
    <w:r w:rsidR="006F464A">
      <w:rPr>
        <w:rFonts w:ascii="Arial" w:hAnsi="Arial" w:cs="Arial"/>
        <w:sz w:val="22"/>
        <w:szCs w:val="22"/>
      </w:rPr>
      <w:t xml:space="preserve"> </w:t>
    </w:r>
    <w:r w:rsidR="00626C73" w:rsidRPr="008079B0">
      <w:rPr>
        <w:rFonts w:ascii="Arial" w:hAnsi="Arial" w:cs="Arial"/>
        <w:sz w:val="22"/>
        <w:szCs w:val="22"/>
      </w:rPr>
      <w:t>202</w:t>
    </w:r>
    <w:r w:rsidR="00E84B36">
      <w:rPr>
        <w:rFonts w:ascii="Arial" w:hAnsi="Arial" w:cs="Arial"/>
        <w:sz w:val="22"/>
        <w:szCs w:val="22"/>
      </w:rPr>
      <w:t>3</w:t>
    </w:r>
    <w:r w:rsidR="008079B0" w:rsidRPr="008079B0">
      <w:rPr>
        <w:rFonts w:ascii="Arial" w:hAnsi="Arial" w:cs="Arial"/>
        <w:sz w:val="22"/>
        <w:szCs w:val="22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412D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136C"/>
    <w:rsid w:val="00042962"/>
    <w:rsid w:val="00042F34"/>
    <w:rsid w:val="00044407"/>
    <w:rsid w:val="0004457D"/>
    <w:rsid w:val="000449EA"/>
    <w:rsid w:val="0005145C"/>
    <w:rsid w:val="00054BBC"/>
    <w:rsid w:val="0005555C"/>
    <w:rsid w:val="0006329B"/>
    <w:rsid w:val="00063BF8"/>
    <w:rsid w:val="00063D0A"/>
    <w:rsid w:val="00064B36"/>
    <w:rsid w:val="0007012B"/>
    <w:rsid w:val="00072B37"/>
    <w:rsid w:val="00081A92"/>
    <w:rsid w:val="00082CCF"/>
    <w:rsid w:val="000912E8"/>
    <w:rsid w:val="000A42CC"/>
    <w:rsid w:val="000A6D22"/>
    <w:rsid w:val="000B0975"/>
    <w:rsid w:val="000B0D4D"/>
    <w:rsid w:val="000B1581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3750"/>
    <w:rsid w:val="00125451"/>
    <w:rsid w:val="00126F01"/>
    <w:rsid w:val="00126FF2"/>
    <w:rsid w:val="00127E74"/>
    <w:rsid w:val="00130FA1"/>
    <w:rsid w:val="00136DE4"/>
    <w:rsid w:val="00136EE3"/>
    <w:rsid w:val="00141CEB"/>
    <w:rsid w:val="00141D48"/>
    <w:rsid w:val="00142540"/>
    <w:rsid w:val="00143B39"/>
    <w:rsid w:val="00147FC8"/>
    <w:rsid w:val="00151AA4"/>
    <w:rsid w:val="00151ED1"/>
    <w:rsid w:val="00155B79"/>
    <w:rsid w:val="00157546"/>
    <w:rsid w:val="00161096"/>
    <w:rsid w:val="00166670"/>
    <w:rsid w:val="00167287"/>
    <w:rsid w:val="001727D3"/>
    <w:rsid w:val="001743CE"/>
    <w:rsid w:val="001761C4"/>
    <w:rsid w:val="001776A1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35AA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1DE6"/>
    <w:rsid w:val="00292582"/>
    <w:rsid w:val="00293511"/>
    <w:rsid w:val="00296E00"/>
    <w:rsid w:val="002A0959"/>
    <w:rsid w:val="002A1FE5"/>
    <w:rsid w:val="002A3902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27A5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57FAD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A4F4E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1141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13F4"/>
    <w:rsid w:val="00434B89"/>
    <w:rsid w:val="00434EC8"/>
    <w:rsid w:val="0043606F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256C"/>
    <w:rsid w:val="00483BD0"/>
    <w:rsid w:val="00485A3D"/>
    <w:rsid w:val="00486570"/>
    <w:rsid w:val="004867AC"/>
    <w:rsid w:val="0049057F"/>
    <w:rsid w:val="00491356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5AF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66B4D"/>
    <w:rsid w:val="00570F2C"/>
    <w:rsid w:val="005743E9"/>
    <w:rsid w:val="005751DD"/>
    <w:rsid w:val="00582C6B"/>
    <w:rsid w:val="0058746D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3EEC"/>
    <w:rsid w:val="005D602F"/>
    <w:rsid w:val="005E12E9"/>
    <w:rsid w:val="005E1751"/>
    <w:rsid w:val="005E30FD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6C73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76618"/>
    <w:rsid w:val="006766F3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C6740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64A"/>
    <w:rsid w:val="006F4C35"/>
    <w:rsid w:val="006F6F3E"/>
    <w:rsid w:val="006F7FE3"/>
    <w:rsid w:val="00702E47"/>
    <w:rsid w:val="00706922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E27"/>
    <w:rsid w:val="007706CF"/>
    <w:rsid w:val="00770F28"/>
    <w:rsid w:val="00775892"/>
    <w:rsid w:val="00775E5E"/>
    <w:rsid w:val="00776A2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A44C6"/>
    <w:rsid w:val="007B0F7A"/>
    <w:rsid w:val="007B6791"/>
    <w:rsid w:val="007B7901"/>
    <w:rsid w:val="007C008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25C0"/>
    <w:rsid w:val="00803F58"/>
    <w:rsid w:val="00804468"/>
    <w:rsid w:val="0080564B"/>
    <w:rsid w:val="008063B4"/>
    <w:rsid w:val="008068DF"/>
    <w:rsid w:val="008079B0"/>
    <w:rsid w:val="00811597"/>
    <w:rsid w:val="00811F31"/>
    <w:rsid w:val="00813130"/>
    <w:rsid w:val="00821B13"/>
    <w:rsid w:val="00825414"/>
    <w:rsid w:val="00825E44"/>
    <w:rsid w:val="00830C78"/>
    <w:rsid w:val="0083104D"/>
    <w:rsid w:val="00831065"/>
    <w:rsid w:val="00832606"/>
    <w:rsid w:val="008334F5"/>
    <w:rsid w:val="00833A98"/>
    <w:rsid w:val="008340C6"/>
    <w:rsid w:val="00834267"/>
    <w:rsid w:val="008367E3"/>
    <w:rsid w:val="008373F2"/>
    <w:rsid w:val="008408D8"/>
    <w:rsid w:val="00840AE3"/>
    <w:rsid w:val="00841CAB"/>
    <w:rsid w:val="00843177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0FC9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61B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4AA2"/>
    <w:rsid w:val="00946895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3F2C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CFB"/>
    <w:rsid w:val="009F6F3F"/>
    <w:rsid w:val="00A004B3"/>
    <w:rsid w:val="00A03FF4"/>
    <w:rsid w:val="00A122FF"/>
    <w:rsid w:val="00A12957"/>
    <w:rsid w:val="00A1365D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5F4"/>
    <w:rsid w:val="00A55715"/>
    <w:rsid w:val="00A56BDF"/>
    <w:rsid w:val="00A57CCA"/>
    <w:rsid w:val="00A60AFF"/>
    <w:rsid w:val="00A61147"/>
    <w:rsid w:val="00A61FD0"/>
    <w:rsid w:val="00A64F07"/>
    <w:rsid w:val="00A720C0"/>
    <w:rsid w:val="00A73F11"/>
    <w:rsid w:val="00A74756"/>
    <w:rsid w:val="00A74E97"/>
    <w:rsid w:val="00A76B5C"/>
    <w:rsid w:val="00A830AE"/>
    <w:rsid w:val="00A84190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4C67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670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177E"/>
    <w:rsid w:val="00B44D77"/>
    <w:rsid w:val="00B512F0"/>
    <w:rsid w:val="00B519DB"/>
    <w:rsid w:val="00B53C8C"/>
    <w:rsid w:val="00B54AF1"/>
    <w:rsid w:val="00B55796"/>
    <w:rsid w:val="00B608E1"/>
    <w:rsid w:val="00B62041"/>
    <w:rsid w:val="00B62E5B"/>
    <w:rsid w:val="00B64607"/>
    <w:rsid w:val="00B70B65"/>
    <w:rsid w:val="00B71B29"/>
    <w:rsid w:val="00B71B96"/>
    <w:rsid w:val="00B72840"/>
    <w:rsid w:val="00B72B71"/>
    <w:rsid w:val="00B74515"/>
    <w:rsid w:val="00B76B7E"/>
    <w:rsid w:val="00B772DB"/>
    <w:rsid w:val="00B801BE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3963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274D4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48AB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0FE"/>
    <w:rsid w:val="00CD14D7"/>
    <w:rsid w:val="00CD161D"/>
    <w:rsid w:val="00CD6CA0"/>
    <w:rsid w:val="00CD754C"/>
    <w:rsid w:val="00CE1F7E"/>
    <w:rsid w:val="00CE3A11"/>
    <w:rsid w:val="00CE3A1F"/>
    <w:rsid w:val="00CE6B52"/>
    <w:rsid w:val="00CE7DA4"/>
    <w:rsid w:val="00CF0318"/>
    <w:rsid w:val="00CF08DF"/>
    <w:rsid w:val="00CF2253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3AFC"/>
    <w:rsid w:val="00D25ACA"/>
    <w:rsid w:val="00D3102D"/>
    <w:rsid w:val="00D31477"/>
    <w:rsid w:val="00D3475C"/>
    <w:rsid w:val="00D350C2"/>
    <w:rsid w:val="00D36E30"/>
    <w:rsid w:val="00D36F8B"/>
    <w:rsid w:val="00D37256"/>
    <w:rsid w:val="00D40C63"/>
    <w:rsid w:val="00D40F9E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496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4AC5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4B36"/>
    <w:rsid w:val="00E863B5"/>
    <w:rsid w:val="00E90DE1"/>
    <w:rsid w:val="00E9179F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6251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14857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B7EFC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A94C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ralovehradecky.kraj@spucr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14</Pages>
  <Words>5053</Words>
  <Characters>29813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Žáková Petra Ing.</cp:lastModifiedBy>
  <cp:revision>64</cp:revision>
  <cp:lastPrinted>2022-11-21T09:47:00Z</cp:lastPrinted>
  <dcterms:created xsi:type="dcterms:W3CDTF">2023-01-02T13:58:00Z</dcterms:created>
  <dcterms:modified xsi:type="dcterms:W3CDTF">2023-01-30T07:33:00Z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